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EC" w:rsidRPr="00C347E4" w:rsidRDefault="00347CEC" w:rsidP="00347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347CEC" w:rsidRPr="00C347E4" w:rsidRDefault="00347CEC" w:rsidP="00347C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347CEC" w:rsidRPr="00C347E4" w:rsidRDefault="00347CEC" w:rsidP="00347CEC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 w:rsidRPr="00C347E4">
        <w:rPr>
          <w:szCs w:val="24"/>
        </w:rPr>
        <w:t>ХАНТЫ-МАНСИЙСКИЙ АВТОНОМНЫЙ ОКРУГ – ЮГРА</w:t>
      </w:r>
    </w:p>
    <w:p w:rsidR="00347CEC" w:rsidRPr="00C347E4" w:rsidRDefault="00347CEC" w:rsidP="00347C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EC" w:rsidRPr="00C347E4" w:rsidRDefault="00347CEC" w:rsidP="00347CEC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АДМИНИСТРАЦИЯ</w:t>
      </w:r>
    </w:p>
    <w:p w:rsidR="00347CEC" w:rsidRPr="00C347E4" w:rsidRDefault="00347CEC" w:rsidP="00347CEC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ГОРОДСКОГО ПОСЕЛЕНИЯ КУМИНСКИЙ</w:t>
      </w:r>
    </w:p>
    <w:p w:rsidR="00347CEC" w:rsidRPr="00C347E4" w:rsidRDefault="00347CEC" w:rsidP="00347CEC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7CEC" w:rsidRPr="00C347E4" w:rsidRDefault="00347CEC" w:rsidP="00347CE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CEC" w:rsidRPr="00C347E4" w:rsidRDefault="00347CEC" w:rsidP="00347CEC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ПОСТАНОВЛЕНИЕ</w:t>
      </w:r>
    </w:p>
    <w:p w:rsidR="00347CEC" w:rsidRPr="003855D8" w:rsidRDefault="00347CEC" w:rsidP="0034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CEC" w:rsidRPr="004A5BF1" w:rsidRDefault="00347CEC" w:rsidP="00347CEC">
      <w:pPr>
        <w:pStyle w:val="31"/>
        <w:jc w:val="both"/>
      </w:pPr>
      <w:r w:rsidRPr="004A5BF1">
        <w:t xml:space="preserve">от </w:t>
      </w:r>
      <w:r>
        <w:t>27 ноября 2013</w:t>
      </w:r>
      <w:r w:rsidRPr="004A5BF1">
        <w:t xml:space="preserve"> года                                  </w:t>
      </w:r>
      <w:r>
        <w:t xml:space="preserve">                                                                     № 196</w:t>
      </w:r>
    </w:p>
    <w:p w:rsidR="00347CEC" w:rsidRPr="0060155B" w:rsidRDefault="00347CEC" w:rsidP="00347CEC">
      <w:pPr>
        <w:pStyle w:val="31"/>
        <w:rPr>
          <w:szCs w:val="24"/>
        </w:rPr>
      </w:pPr>
      <w:r w:rsidRPr="0060155B">
        <w:rPr>
          <w:szCs w:val="24"/>
        </w:rPr>
        <w:t>пгт. Куминский</w:t>
      </w:r>
    </w:p>
    <w:p w:rsidR="00261139" w:rsidRPr="003855D8" w:rsidRDefault="00261139" w:rsidP="0026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261139" w:rsidRPr="003855D8" w:rsidRDefault="00261139" w:rsidP="0026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61139" w:rsidRDefault="00261139" w:rsidP="002611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субсидий в целях возмещения </w:t>
      </w:r>
    </w:p>
    <w:p w:rsidR="00261139" w:rsidRDefault="00261139" w:rsidP="002611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недополученных доходов организациям, предоставляющим </w:t>
      </w:r>
    </w:p>
    <w:p w:rsidR="00261139" w:rsidRDefault="00261139" w:rsidP="002611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населению услуги водоснабжения и водоотведения по тарифам, </w:t>
      </w:r>
    </w:p>
    <w:p w:rsidR="00261139" w:rsidRPr="003855D8" w:rsidRDefault="00261139" w:rsidP="0026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 обеспечивающим возмещение издержек</w:t>
      </w:r>
      <w:r w:rsidRPr="003855D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61139" w:rsidRPr="003855D8" w:rsidRDefault="00261139" w:rsidP="0026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39" w:rsidRPr="003855D8" w:rsidRDefault="00261139" w:rsidP="002611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261139" w:rsidRPr="003855D8" w:rsidRDefault="00261139" w:rsidP="0026113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1.Утвердить административный регламент предоставления муниципальной услуги: «</w:t>
      </w:r>
      <w:r>
        <w:rPr>
          <w:rFonts w:ascii="Times New Roman" w:eastAsia="Calibri" w:hAnsi="Times New Roman"/>
          <w:b w:val="0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водоснабжения и водоотведения по тарифам, не обеспечивающим возмещение издержек</w:t>
      </w:r>
      <w:r w:rsidRPr="003855D8">
        <w:rPr>
          <w:rFonts w:ascii="Times New Roman" w:hAnsi="Times New Roman"/>
          <w:b w:val="0"/>
          <w:sz w:val="24"/>
          <w:szCs w:val="24"/>
        </w:rPr>
        <w:t>», согласно приложения.</w:t>
      </w:r>
    </w:p>
    <w:p w:rsidR="00347CEC" w:rsidRDefault="00347CEC" w:rsidP="00347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2F08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7C2F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Кондинского района. </w:t>
      </w:r>
    </w:p>
    <w:p w:rsidR="00347CEC" w:rsidRPr="007C2F08" w:rsidRDefault="00347CEC" w:rsidP="00347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 (обнародования).</w:t>
      </w:r>
      <w:r w:rsidRPr="007C2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139" w:rsidRPr="003855D8" w:rsidRDefault="00347CEC" w:rsidP="002611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139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61139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</w:p>
    <w:p w:rsidR="00347CEC" w:rsidRPr="003855D8" w:rsidRDefault="00347CEC" w:rsidP="00261139">
      <w:pPr>
        <w:pStyle w:val="ConsPlusTitle"/>
        <w:jc w:val="center"/>
        <w:rPr>
          <w:rFonts w:ascii="Times New Roman" w:hAnsi="Times New Roman" w:cs="Times New Roman"/>
        </w:rPr>
      </w:pPr>
    </w:p>
    <w:p w:rsidR="00347CEC" w:rsidRPr="00D96BEE" w:rsidRDefault="00347CEC" w:rsidP="00347C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347CEC" w:rsidRPr="00D96BEE" w:rsidRDefault="00347CEC" w:rsidP="00347CEC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347CEC" w:rsidRDefault="00347CEC" w:rsidP="00347CEC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261139" w:rsidRPr="00347CEC" w:rsidRDefault="00347CEC" w:rsidP="00347CE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№196       </w:t>
      </w:r>
    </w:p>
    <w:p w:rsidR="00347CEC" w:rsidRDefault="00347CEC" w:rsidP="00347CE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0C53F4" w:rsidRPr="00261139" w:rsidRDefault="000C53F4" w:rsidP="00261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C53F4" w:rsidRPr="00261139" w:rsidRDefault="000C53F4" w:rsidP="00261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Pr="00261139">
        <w:rPr>
          <w:rFonts w:ascii="Times New Roman" w:hAnsi="Times New Roman" w:cs="Times New Roman"/>
          <w:caps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водоснабжения и водоотведения по тарифам, не обеспечивающим возмещение издержек</w:t>
      </w:r>
      <w:r w:rsidRPr="00261139">
        <w:rPr>
          <w:rFonts w:ascii="Times New Roman" w:hAnsi="Times New Roman" w:cs="Times New Roman"/>
          <w:sz w:val="24"/>
          <w:szCs w:val="24"/>
        </w:rPr>
        <w:t>"</w:t>
      </w:r>
    </w:p>
    <w:p w:rsidR="000C53F4" w:rsidRPr="00261139" w:rsidRDefault="000C53F4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субсидий в целях возмещения недополученных доходов организациям, предоставляющим населению услуги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любой организационно-правовой формы и индивидуальные предприниматели, предоставляющие населению услуги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 вправе осуществлять их представители, действующие в силу закона или на основании доверенности.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261139" w:rsidRPr="002F3F8D" w:rsidRDefault="00261139" w:rsidP="0026113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1139" w:rsidRPr="002F3F8D" w:rsidRDefault="00261139" w:rsidP="0026113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9" w:history="1"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2F3F8D">
          <w:rPr>
            <w:rStyle w:val="a8"/>
            <w:rFonts w:ascii="Times New Roman" w:hAnsi="Times New Roman"/>
            <w:sz w:val="24"/>
            <w:szCs w:val="24"/>
          </w:rPr>
          <w:t>86.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личном обращении;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261139" w:rsidRPr="002F3F8D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5720E1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261139" w:rsidRPr="002F3F8D" w:rsidTr="00566BEF">
        <w:trPr>
          <w:trHeight w:val="423"/>
          <w:tblCellSpacing w:w="0" w:type="dxa"/>
        </w:trPr>
        <w:tc>
          <w:tcPr>
            <w:tcW w:w="2535" w:type="dxa"/>
          </w:tcPr>
          <w:p w:rsidR="00261139" w:rsidRPr="002F3F8D" w:rsidRDefault="00261139" w:rsidP="00566B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261139" w:rsidRPr="002F3F8D" w:rsidRDefault="00261139" w:rsidP="00566B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261139" w:rsidRPr="002F3F8D" w:rsidTr="00566BEF">
        <w:trPr>
          <w:trHeight w:hRule="exact" w:val="376"/>
          <w:tblCellSpacing w:w="0" w:type="dxa"/>
        </w:trPr>
        <w:tc>
          <w:tcPr>
            <w:tcW w:w="2535" w:type="dxa"/>
          </w:tcPr>
          <w:p w:rsidR="00261139" w:rsidRPr="002F3F8D" w:rsidRDefault="00261139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261139" w:rsidRPr="002F3F8D" w:rsidRDefault="00261139" w:rsidP="00566BEF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261139" w:rsidRPr="002F3F8D" w:rsidRDefault="00261139" w:rsidP="00566BEF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261139" w:rsidRPr="002F3F8D" w:rsidRDefault="00261139" w:rsidP="00566BEF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261139" w:rsidRPr="002F3F8D" w:rsidTr="00566BEF">
        <w:trPr>
          <w:trHeight w:hRule="exact" w:val="344"/>
          <w:tblCellSpacing w:w="0" w:type="dxa"/>
        </w:trPr>
        <w:tc>
          <w:tcPr>
            <w:tcW w:w="2535" w:type="dxa"/>
          </w:tcPr>
          <w:p w:rsidR="00261139" w:rsidRPr="002F3F8D" w:rsidRDefault="00261139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261139" w:rsidRPr="002F3F8D" w:rsidRDefault="00261139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66BEF">
        <w:trPr>
          <w:trHeight w:hRule="exact" w:val="353"/>
          <w:tblCellSpacing w:w="0" w:type="dxa"/>
        </w:trPr>
        <w:tc>
          <w:tcPr>
            <w:tcW w:w="2535" w:type="dxa"/>
          </w:tcPr>
          <w:p w:rsidR="00261139" w:rsidRPr="002F3F8D" w:rsidRDefault="00261139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261139" w:rsidRPr="002F3F8D" w:rsidRDefault="00261139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66BEF">
        <w:trPr>
          <w:trHeight w:hRule="exact" w:val="336"/>
          <w:tblCellSpacing w:w="0" w:type="dxa"/>
        </w:trPr>
        <w:tc>
          <w:tcPr>
            <w:tcW w:w="2535" w:type="dxa"/>
          </w:tcPr>
          <w:p w:rsidR="00261139" w:rsidRPr="002F3F8D" w:rsidRDefault="00261139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261139" w:rsidRPr="002F3F8D" w:rsidRDefault="00261139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66BEF">
        <w:trPr>
          <w:trHeight w:hRule="exact" w:val="332"/>
          <w:tblCellSpacing w:w="0" w:type="dxa"/>
        </w:trPr>
        <w:tc>
          <w:tcPr>
            <w:tcW w:w="2535" w:type="dxa"/>
          </w:tcPr>
          <w:p w:rsidR="00261139" w:rsidRPr="002F3F8D" w:rsidRDefault="00261139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261139" w:rsidRPr="002F3F8D" w:rsidRDefault="00261139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66BEF">
        <w:trPr>
          <w:trHeight w:val="312"/>
          <w:tblCellSpacing w:w="0" w:type="dxa"/>
        </w:trPr>
        <w:tc>
          <w:tcPr>
            <w:tcW w:w="2535" w:type="dxa"/>
          </w:tcPr>
          <w:p w:rsidR="00261139" w:rsidRPr="002F3F8D" w:rsidRDefault="00261139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261139" w:rsidRPr="002F3F8D" w:rsidRDefault="00261139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"Предоставление субсидий в целях возмещения недополученных доходов организациям, предоставляющим населению услуги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издержек".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261139" w:rsidRPr="00154AFA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5720E1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8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8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о государственной регистрации в качестве юридического лица или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предпринимателей), сведений о постановке на учет в налоговом органе;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из бухгалтерского баланса (в том числе отчета о прибылях и убытках);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2.3.3. Региональная служба по тарифам Ханты-Мансийского автономного округа - Югры – в части предоставления сведений об установлении тарифа на теплоснабжение на планируемый год.</w:t>
      </w: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решение о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2) мотивированное решение об отказе в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услуг";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F3F8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F3F8D">
        <w:rPr>
          <w:rFonts w:ascii="Times New Roman" w:hAnsi="Times New Roman" w:cs="Times New Roman"/>
          <w:sz w:val="24"/>
          <w:szCs w:val="24"/>
        </w:rPr>
        <w:t>ом от 06.10.2003 N 131-ФЗ "Об общих принципах организации местного самоуправления в Российской Федерации";</w:t>
      </w:r>
    </w:p>
    <w:p w:rsidR="00261139" w:rsidRPr="00C37FF3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FF3">
        <w:rPr>
          <w:rFonts w:ascii="Times New Roman" w:hAnsi="Times New Roman" w:cs="Times New Roman"/>
          <w:sz w:val="24"/>
          <w:szCs w:val="24"/>
        </w:rPr>
        <w:t>Уставом городского поселения Куминский;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Куминский от 17 октября 2011 года № 180 «Порядок по предоставлению субсидий организациям коммунального комплекса городского поселения Куминский на возмещение экономически обоснованных убытков от оказания регулируемого вида деятельности».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FF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б) копии учредительных документов, заверенные нотариально или с предъявлением оригиналов;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в) договор с банком об открытии расчетного счета на имя организации (Получателя субсидии);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г) расчет суммы затрат (недополученных доходов) с предоставлением копий документов, подтверждающих затраты (недополученные доходы).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индивидуальных предпринимателей;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государственной регистрации юридического лица (для юридических лиц) или выписка из государственного реестра юридических лиц;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годовой бухгалтерской отчетности за предыдущий отчетный бухгалтерский период;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решения об установлении тарифа на теплоснабжение на планируемый год.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2F3F8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261139" w:rsidRPr="002F3F8D" w:rsidRDefault="00261139" w:rsidP="00261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261139" w:rsidRPr="002F3F8D" w:rsidRDefault="00261139" w:rsidP="00261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отсутствия государственной регистрации в качестве юридического лица или индивидуального предпринимателя;</w:t>
      </w:r>
    </w:p>
    <w:p w:rsidR="00261139" w:rsidRPr="002F3F8D" w:rsidRDefault="00261139" w:rsidP="00261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наличия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261139" w:rsidRPr="002F3F8D" w:rsidRDefault="00261139" w:rsidP="00261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отсутствия фактического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образования;</w:t>
      </w:r>
    </w:p>
    <w:p w:rsidR="00261139" w:rsidRPr="002F3F8D" w:rsidRDefault="00261139" w:rsidP="00261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нахождение заявителя в стадии ликвидации или банкротства;</w:t>
      </w:r>
    </w:p>
    <w:p w:rsidR="00261139" w:rsidRPr="002F3F8D" w:rsidRDefault="00261139" w:rsidP="00261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  <w:lang w:eastAsia="en-US"/>
        </w:rPr>
        <w:t xml:space="preserve">отсутствие разрешений и (или) лицензий, выданных уполномоченными органами, необходимых для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образования;</w:t>
      </w:r>
    </w:p>
    <w:p w:rsidR="00261139" w:rsidRPr="002F3F8D" w:rsidRDefault="00261139" w:rsidP="00261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87" w:rsidRPr="002F3F8D" w:rsidRDefault="00402687" w:rsidP="00402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2.13. 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Pr="002F3F8D">
        <w:rPr>
          <w:rFonts w:ascii="Times New Roman" w:hAnsi="Times New Roman" w:cs="Times New Roman"/>
          <w:i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ОМСУ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предоставляются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2.18. Показатели доступности и качества муниципальных услуг: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ED6FAB">
        <w:rPr>
          <w:rFonts w:ascii="Times New Roman" w:hAnsi="Times New Roman" w:cs="Times New Roman"/>
          <w:sz w:val="24"/>
          <w:szCs w:val="24"/>
        </w:rPr>
        <w:t>Кондинского района,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издержек;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4) 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261139" w:rsidRPr="002F3F8D" w:rsidRDefault="00261139" w:rsidP="0026113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261139" w:rsidRPr="002F3F8D" w:rsidRDefault="00261139" w:rsidP="0026113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261139" w:rsidRPr="002F3F8D" w:rsidRDefault="00261139" w:rsidP="0026113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услуги может быть оформлено заявителем в ходе приема в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заявителе (ф</w:t>
      </w:r>
      <w:r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 w:rsidRPr="002F3F8D">
        <w:rPr>
          <w:rFonts w:ascii="Times New Roman" w:hAnsi="Times New Roman" w:cs="Times New Roman"/>
          <w:sz w:val="24"/>
          <w:szCs w:val="24"/>
        </w:rPr>
        <w:t>–индивидуального предпринимателя, наименование организации - юридического лица);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месте нахождения заявителя (адрес регистрации, почтовые реквизиты, контактные телефоны);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государственной регистрации в качестве юридического лица или индивидуального предпринимателя;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дел в отношении заявителя о ликвидации или банкротстве;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декларирование достоверности сведений в представленных в документах.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выдает заявителю расписку-уведомление с описью представленных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261139" w:rsidRPr="002F3F8D" w:rsidRDefault="00261139" w:rsidP="0026113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261139" w:rsidRPr="002F3F8D" w:rsidRDefault="00261139" w:rsidP="0026113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261139" w:rsidRPr="002F3F8D" w:rsidRDefault="00261139" w:rsidP="0026113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261139" w:rsidRPr="002F3F8D" w:rsidRDefault="00261139" w:rsidP="0026113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261139" w:rsidRPr="002F3F8D" w:rsidRDefault="00261139" w:rsidP="0026113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261139" w:rsidRPr="002F3F8D" w:rsidRDefault="00261139" w:rsidP="00261139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261139" w:rsidRPr="002F3F8D" w:rsidRDefault="00261139" w:rsidP="00261139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прием и регистрацию документов, передает комплект документов специалисту Администрации городского поселения Куминский,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ED6FAB">
        <w:rPr>
          <w:rFonts w:ascii="Times New Roman" w:hAnsi="Times New Roman" w:cs="Times New Roman"/>
          <w:b/>
          <w:sz w:val="24"/>
          <w:szCs w:val="24"/>
        </w:rPr>
        <w:t>специалистом 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>специалистом Администрации городского поселения Куминский,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>руководителя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>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ED6FAB">
        <w:rPr>
          <w:rFonts w:ascii="Times New Roman" w:hAnsi="Times New Roman" w:cs="Times New Roman"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261139" w:rsidRPr="00ED6FAB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>специалиста Администрации городского поселения Куминский, ответственного за межведомственное взаимодействие.</w:t>
      </w:r>
    </w:p>
    <w:p w:rsidR="00261139" w:rsidRPr="00ED6FAB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>ответов специалисту Администрации городского поселения Куминский, ответственному за принятие решения о выдаче услуги, осуществляет специалист Администрации городского поселения Куминский, ответственный за межведомственное взаимодействие.</w:t>
      </w:r>
    </w:p>
    <w:p w:rsidR="00261139" w:rsidRPr="00D20FFB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взаимодействие, направляет повторный запрос.</w:t>
      </w:r>
    </w:p>
    <w:p w:rsidR="00261139" w:rsidRPr="00D20FFB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>В случае, если ответ на межведомственный запрос не был получен вовремя, специалист Администрации городского поселения Куминский, ответственный за межведомственное взаимодействие уведомляет заявителя о сложившейся ситуации, в частности: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261139" w:rsidRPr="00D20FFB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- направляет в прокуратуру информацию о непредставлении информации по межведомственному запросу.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261139" w:rsidRPr="00D20FFB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межведомственное взаимодействие, передает зарегистрированные ответы и заявление на предоставление услуги специалисту Администрации городского поселения Куминский, ответственному за принятие решения о предоставлении услуги.</w:t>
      </w:r>
    </w:p>
    <w:p w:rsidR="00261139" w:rsidRPr="00D20FFB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передает полный комплект специалисту Администрации городского поселения Куминский, ответственному за принятие решения о предоставлении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>специалисту Администрации городского поселения Куминский,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 w:rsidRPr="00261139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b/>
          <w:sz w:val="24"/>
          <w:szCs w:val="24"/>
        </w:rPr>
        <w:t xml:space="preserve"> по тарифам, не обеспечивающим 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возмещение издержек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Pr="00B06BCE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61139" w:rsidRPr="002F3F8D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 случае выявления оснований, предусмотренных пунктом 2.12 настоящего административного регламента, специалист Администрации городского поселения Куминский,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Администрации городского поселения Куминский. Отказ в предоставлении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муниципальной услуги оформляется приказом </w:t>
      </w:r>
      <w:r w:rsidRPr="00B06BCE">
        <w:rPr>
          <w:rFonts w:ascii="Times New Roman" w:hAnsi="Times New Roman" w:cs="Times New Roman"/>
          <w:sz w:val="24"/>
          <w:szCs w:val="24"/>
        </w:rPr>
        <w:t>руководителя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261139" w:rsidRPr="00B06BCE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Администрации городского </w:t>
      </w:r>
      <w:r w:rsidRPr="00B06BCE">
        <w:rPr>
          <w:rFonts w:ascii="Times New Roman" w:hAnsi="Times New Roman" w:cs="Times New Roman"/>
          <w:sz w:val="24"/>
          <w:szCs w:val="24"/>
        </w:rPr>
        <w:lastRenderedPageBreak/>
        <w:t>поселения Куминский, ответственный за принятие решения о предоставлении услуги в течение 5 рабочих дней готовит предложение о предоставлении субсидии руководителю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В ходе принятия решения о предоставлении муниципальной услуги специалистом  , ответственным за принятие решения о предоставлении услуги по согласованию с руководителем ответственного отдела может быть принято решение о необходимости проведения проверки наличия фактического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 Срок проведения проверки не может превышать 3 рабочих дней со дня принятия решения о необходимости такой проверки.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Руководитель ответственного отдела проводит согласование предоставления субсидии и направляет его на согласование руководителю Администрации городского поселения Куминский. Руководитель Администрации городского поселения Куминский проводит согласование предоставления субсидии в течение 2 рабочих дней.</w:t>
      </w:r>
    </w:p>
    <w:p w:rsidR="00261139" w:rsidRPr="00B06BCE" w:rsidRDefault="00261139" w:rsidP="00261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По выполнении вышеуказанных согласований специалист, ответственный за принятие решения о предоставлении услуги регистрирует заявку на предоставление субсидий в целях возмещения недополученных доходов при предоставлении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издержек, в реестре получателей субсидий в течение 1 рабочего дня.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готовитприказ о предоставлении субсидии или приказ об отказе в  предоставлении субсидии и передает его на подпись руководителю ОМС в течение 1 рабочего дня со дня внесения сведений в реестр получателей субсидий.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 подписывает приказ о предоставлении субсидии или приказ об отказе в  предоставлении субсидии в течение 2 рабочих дней.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приятие решения Администрации городского поселения Куминский о предоставлении субсидии или об отказе в  предоставлении субсидии.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</w:t>
      </w:r>
      <w:r w:rsidRPr="00261139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b/>
          <w:sz w:val="24"/>
          <w:szCs w:val="24"/>
        </w:rPr>
        <w:t xml:space="preserve"> по тарифам, не обеспечивающим 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возмещение издержек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приказа о предоставлении субсидии или решения об отказе в предоставлении субсидии (далее - документ, являющийся результатом предоставления услуги).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61139" w:rsidRPr="00B06BC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его представителя, а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также документа, подтверждающего полномочия представителя.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предоставлении субсидии или решения об отказе в предоставлении субсидии.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может быть принято одно из следующих решений: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7CEC" w:rsidRDefault="00347CEC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7CEC" w:rsidRDefault="00347CEC" w:rsidP="00261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47CEC" w:rsidSect="00FE3EC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4D" w:rsidRDefault="004A484D" w:rsidP="00261139">
      <w:pPr>
        <w:spacing w:after="0" w:line="240" w:lineRule="auto"/>
      </w:pPr>
      <w:r>
        <w:separator/>
      </w:r>
    </w:p>
  </w:endnote>
  <w:endnote w:type="continuationSeparator" w:id="1">
    <w:p w:rsidR="004A484D" w:rsidRDefault="004A484D" w:rsidP="002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3236"/>
      <w:docPartObj>
        <w:docPartGallery w:val="Page Numbers (Bottom of Page)"/>
        <w:docPartUnique/>
      </w:docPartObj>
    </w:sdtPr>
    <w:sdtContent>
      <w:p w:rsidR="00261139" w:rsidRDefault="003B592D">
        <w:pPr>
          <w:pStyle w:val="a6"/>
          <w:jc w:val="right"/>
        </w:pPr>
        <w:fldSimple w:instr=" PAGE   \* MERGEFORMAT ">
          <w:r w:rsidR="00E66BEF">
            <w:rPr>
              <w:noProof/>
            </w:rPr>
            <w:t>19</w:t>
          </w:r>
        </w:fldSimple>
      </w:p>
    </w:sdtContent>
  </w:sdt>
  <w:p w:rsidR="00261139" w:rsidRDefault="002611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4D" w:rsidRDefault="004A484D" w:rsidP="00261139">
      <w:pPr>
        <w:spacing w:after="0" w:line="240" w:lineRule="auto"/>
      </w:pPr>
      <w:r>
        <w:separator/>
      </w:r>
    </w:p>
  </w:footnote>
  <w:footnote w:type="continuationSeparator" w:id="1">
    <w:p w:rsidR="004A484D" w:rsidRDefault="004A484D" w:rsidP="0026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3F4"/>
    <w:rsid w:val="000048A1"/>
    <w:rsid w:val="000C53F4"/>
    <w:rsid w:val="00261139"/>
    <w:rsid w:val="00347CEC"/>
    <w:rsid w:val="003B592D"/>
    <w:rsid w:val="00402687"/>
    <w:rsid w:val="004A484D"/>
    <w:rsid w:val="005720E1"/>
    <w:rsid w:val="00B2186A"/>
    <w:rsid w:val="00B94198"/>
    <w:rsid w:val="00E66BEF"/>
    <w:rsid w:val="00FC688C"/>
    <w:rsid w:val="00F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A"/>
  </w:style>
  <w:style w:type="paragraph" w:styleId="1">
    <w:name w:val="heading 1"/>
    <w:basedOn w:val="a"/>
    <w:next w:val="a"/>
    <w:link w:val="10"/>
    <w:qFormat/>
    <w:rsid w:val="00261139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1139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1139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0C53F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61139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6113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61139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139"/>
  </w:style>
  <w:style w:type="paragraph" w:styleId="a6">
    <w:name w:val="footer"/>
    <w:basedOn w:val="a"/>
    <w:link w:val="a7"/>
    <w:uiPriority w:val="99"/>
    <w:unhideWhenUsed/>
    <w:rsid w:val="002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139"/>
  </w:style>
  <w:style w:type="character" w:styleId="a8">
    <w:name w:val="Hyperlink"/>
    <w:basedOn w:val="a0"/>
    <w:rsid w:val="0026113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347CEC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7CEC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hyperlink" Target="consultantplus://offline/ref=D78BD885904A5CB96F12CE76502E1888E1EC7DC0F28C7848BEADAABCEA8FD78C8B91BA57mEL9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8000</Words>
  <Characters>45604</Characters>
  <Application>Microsoft Office Word</Application>
  <DocSecurity>0</DocSecurity>
  <Lines>380</Lines>
  <Paragraphs>106</Paragraphs>
  <ScaleCrop>false</ScaleCrop>
  <Company>Microsoft</Company>
  <LinksUpToDate>false</LinksUpToDate>
  <CharactersWithSpaces>53498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2013-11-28T04:14:00Z</cp:lastPrinted>
  <dcterms:created xsi:type="dcterms:W3CDTF">2013-07-11T11:54:00Z</dcterms:created>
  <dcterms:modified xsi:type="dcterms:W3CDTF">2016-12-14T12:45:00Z</dcterms:modified>
</cp:coreProperties>
</file>