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Кондинский район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Ханты-Мансийского автономного округа - Югры</w:t>
      </w:r>
      <w:r>
        <w:rPr>
          <w:b/>
        </w:rPr>
      </w:r>
    </w:p>
    <w:p>
      <w:pPr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</w:r>
    </w:p>
    <w:p>
      <w:pPr>
        <w:jc w:val="center"/>
        <w:keepNext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ГОРОДСКОГО ПОСЕЛЕНИЯ КУМИНСКИЙ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по актуализации схемы теплоснабжения городского поселения Куминский</w:t>
      </w:r>
      <w:r>
        <w:rPr>
          <w:bCs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пгт. Куминский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</w:t>
      </w:r>
      <w:r>
        <w:rPr>
          <w:sz w:val="26"/>
          <w:szCs w:val="26"/>
        </w:rPr>
        <w:t xml:space="preserve">»,  Федеральным</w:t>
      </w:r>
      <w:r>
        <w:rPr>
          <w:sz w:val="26"/>
          <w:szCs w:val="26"/>
        </w:rPr>
        <w:t xml:space="preserve">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состоялись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марта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.00 часов по местному времени,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МКУ ЦКМ «Камертон»</w:t>
      </w:r>
      <w:r>
        <w:rPr>
          <w:sz w:val="26"/>
          <w:szCs w:val="26"/>
        </w:rPr>
        <w:t xml:space="preserve">, с участием жителей </w:t>
      </w:r>
      <w:r>
        <w:rPr>
          <w:sz w:val="26"/>
          <w:szCs w:val="26"/>
        </w:rPr>
        <w:t xml:space="preserve">гп.</w:t>
      </w:r>
      <w:r>
        <w:rPr>
          <w:sz w:val="26"/>
          <w:szCs w:val="26"/>
        </w:rPr>
        <w:t xml:space="preserve">Куминский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Составлен протокол публичных слушаний от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.03.20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76" w:lineRule="auto"/>
        <w:tabs>
          <w:tab w:val="left" w:pos="16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Состав организационного комитета, уполномоченного на проведение публичных слушаний:</w:t>
      </w:r>
      <w:r>
        <w:rPr>
          <w:sz w:val="26"/>
          <w:szCs w:val="26"/>
        </w:rPr>
      </w: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94"/>
        <w:gridCol w:w="6966"/>
      </w:tblGrid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ind w:left="-103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Грубцов С.А.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администрации,</w:t>
            </w:r>
            <w:r>
              <w:rPr>
                <w:sz w:val="26"/>
                <w:szCs w:val="26"/>
              </w:rPr>
            </w:r>
          </w:p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организационного комитета;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ind w:left="-103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Ежкова Т.В. </w:t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председатель ресурсоснабжающей организации</w:t>
            </w:r>
            <w:r>
              <w:rPr>
                <w:sz w:val="26"/>
                <w:szCs w:val="26"/>
              </w:rPr>
              <w:t xml:space="preserve">, заместитель председателя организационного комитета;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ind w:left="-103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Артемьева</w:t>
            </w:r>
            <w:r>
              <w:rPr>
                <w:sz w:val="26"/>
                <w:szCs w:val="26"/>
              </w:rPr>
              <w:t xml:space="preserve"> Н.А.</w:t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</w:t>
            </w:r>
            <w:r>
              <w:rPr>
                <w:sz w:val="26"/>
                <w:szCs w:val="26"/>
              </w:rPr>
              <w:t xml:space="preserve">организационно-правовой деятельности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</w:r>
          </w:p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организационного комитета,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ind w:left="-103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ind w:right="17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W w:w="9560" w:type="dxa"/>
            <w:textDirection w:val="lrTb"/>
            <w:noWrap w:val="false"/>
          </w:tcPr>
          <w:p>
            <w:pPr>
              <w:ind w:firstLine="34"/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Члены организационного комитета: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Трофимова И.М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отдела жизнеобеспечения,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59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Овчарова В.П.</w:t>
            </w:r>
            <w:r>
              <w:rPr>
                <w:sz w:val="26"/>
                <w:szCs w:val="26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начальник отдела жизнеобеспечения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pacing w:line="276" w:lineRule="auto"/>
        <w:tabs>
          <w:tab w:val="left" w:pos="166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челове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Предложений по внесению изменений и дополнений </w:t>
      </w:r>
      <w:r>
        <w:rPr>
          <w:sz w:val="26"/>
          <w:szCs w:val="26"/>
        </w:rPr>
        <w:t xml:space="preserve">в  проект</w:t>
      </w:r>
      <w:r>
        <w:rPr>
          <w:sz w:val="26"/>
          <w:szCs w:val="26"/>
        </w:rPr>
        <w:t xml:space="preserve"> актуализации схемы теплоснабжения городского поселения </w:t>
      </w:r>
      <w:r>
        <w:rPr>
          <w:sz w:val="26"/>
          <w:szCs w:val="26"/>
        </w:rPr>
        <w:t xml:space="preserve">Кумински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ресурсоснабжающей организации и </w:t>
      </w:r>
      <w:r>
        <w:rPr>
          <w:sz w:val="26"/>
          <w:szCs w:val="26"/>
        </w:rPr>
        <w:t xml:space="preserve"> населения не поступило.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проекте схемы теплоснабжения актуализированы сведения о численности населения, информация о муниципальном жилищном фонде, установленные тарифы </w:t>
      </w:r>
      <w:r>
        <w:rPr>
          <w:sz w:val="26"/>
          <w:szCs w:val="26"/>
        </w:rPr>
        <w:t xml:space="preserve">на  тепловую</w:t>
      </w:r>
      <w:r>
        <w:rPr>
          <w:sz w:val="26"/>
          <w:szCs w:val="26"/>
        </w:rPr>
        <w:t xml:space="preserve"> энергию для населения и организаций.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Принято следующее решение: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Актуализировать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схему теплоснабжения городского поселения </w:t>
      </w:r>
      <w:r>
        <w:rPr>
          <w:sz w:val="26"/>
          <w:szCs w:val="26"/>
        </w:rPr>
        <w:t xml:space="preserve">Куминский</w:t>
      </w:r>
      <w:r>
        <w:rPr>
          <w:sz w:val="26"/>
          <w:szCs w:val="26"/>
        </w:rPr>
        <w:t xml:space="preserve"> Кондинского района, Ханты-Мансийского автономного округа-Югра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 учетом </w:t>
      </w:r>
      <w:r>
        <w:rPr>
          <w:sz w:val="26"/>
          <w:szCs w:val="26"/>
        </w:rPr>
        <w:t xml:space="preserve">изменений.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/>
      <w:bookmarkStart w:id="0" w:name="_GoBack"/>
      <w:r/>
      <w:bookmarkEnd w:id="0"/>
      <w:r/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ЗАКЛЮЧЕНИЕ:</w:t>
      </w:r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Проект актуализированной схемы теплоснабжения городского поселения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Куминский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рекомендовать к утверждению.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Настоящее заключение о результатах публичных слушаний обнародовать в установленном порядке.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360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360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360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76" w:lineRule="auto"/>
        <w:tabs>
          <w:tab w:val="left" w:pos="668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организационного комитета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С.А. Грубцов</w:t>
      </w:r>
      <w:r>
        <w:rPr>
          <w:sz w:val="26"/>
          <w:szCs w:val="26"/>
        </w:rPr>
      </w:r>
    </w:p>
    <w:p>
      <w:pPr>
        <w:jc w:val="both"/>
        <w:spacing w:line="276" w:lineRule="auto"/>
        <w:tabs>
          <w:tab w:val="left" w:pos="668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Секретарь организ</w:t>
      </w:r>
      <w:r>
        <w:rPr>
          <w:sz w:val="26"/>
          <w:szCs w:val="26"/>
        </w:rPr>
        <w:t xml:space="preserve">ационного комитета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Н.А. </w:t>
      </w:r>
      <w:r>
        <w:rPr>
          <w:sz w:val="26"/>
          <w:szCs w:val="26"/>
        </w:rPr>
        <w:t xml:space="preserve">Артемьева</w:t>
      </w:r>
      <w:r>
        <w:rPr>
          <w:sz w:val="26"/>
          <w:szCs w:val="26"/>
        </w:rPr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707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imesET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0">
    <w:name w:val="Heading 1"/>
    <w:basedOn w:val="619"/>
    <w:next w:val="619"/>
    <w:link w:val="624"/>
    <w:qFormat/>
    <w:pPr>
      <w:jc w:val="center"/>
      <w:keepNext/>
      <w:outlineLvl w:val="0"/>
    </w:pPr>
    <w:rPr>
      <w:rFonts w:ascii="TimesET" w:hAnsi="TimesET"/>
      <w:sz w:val="2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1 Знак"/>
    <w:basedOn w:val="621"/>
    <w:link w:val="620"/>
    <w:rPr>
      <w:rFonts w:ascii="TimesET" w:hAnsi="TimesET" w:eastAsia="Times New Roman" w:cs="Times New Roman"/>
      <w:sz w:val="28"/>
      <w:szCs w:val="24"/>
      <w:lang w:eastAsia="ru-RU"/>
    </w:rPr>
  </w:style>
  <w:style w:type="character" w:styleId="625">
    <w:name w:val="Hyperlink"/>
    <w:basedOn w:val="621"/>
    <w:semiHidden/>
    <w:unhideWhenUsed/>
    <w:rPr>
      <w:color w:val="0000ff"/>
      <w:u w:val="single"/>
    </w:rPr>
  </w:style>
  <w:style w:type="paragraph" w:styleId="626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27" w:customStyle="1">
    <w:name w:val="ConsNonformat"/>
    <w:pPr>
      <w:ind w:right="19772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8">
    <w:name w:val="Body Text 3"/>
    <w:basedOn w:val="619"/>
    <w:link w:val="629"/>
    <w:pPr>
      <w:ind w:right="-1050"/>
      <w:jc w:val="both"/>
    </w:pPr>
    <w:rPr>
      <w:sz w:val="28"/>
      <w:szCs w:val="20"/>
    </w:rPr>
  </w:style>
  <w:style w:type="character" w:styleId="629" w:customStyle="1">
    <w:name w:val="Основной текст 3 Знак"/>
    <w:basedOn w:val="621"/>
    <w:link w:val="6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List Paragraph"/>
    <w:basedOn w:val="61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31">
    <w:name w:val="Balloon Text"/>
    <w:basedOn w:val="619"/>
    <w:link w:val="6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1"/>
    <w:link w:val="63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2018-04-02T05:19:00Z</dcterms:created>
  <dcterms:modified xsi:type="dcterms:W3CDTF">2024-03-13T04:37:50Z</dcterms:modified>
</cp:coreProperties>
</file>