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1"/>
        <w:gridCol w:w="5070"/>
      </w:tblGrid>
      <w:tr w:rsidR="004528BC" w:rsidTr="005D5EC5">
        <w:trPr>
          <w:trHeight w:val="1228"/>
        </w:trPr>
        <w:tc>
          <w:tcPr>
            <w:tcW w:w="7190" w:type="dxa"/>
          </w:tcPr>
          <w:p w:rsidR="004528BC" w:rsidRDefault="004528BC" w:rsidP="005D5E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12" w:type="dxa"/>
          </w:tcPr>
          <w:p w:rsidR="004528BC" w:rsidRPr="00CE6D6C" w:rsidRDefault="004528BC" w:rsidP="005D5E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</w:t>
            </w:r>
            <w:r w:rsidRPr="00CE6D6C">
              <w:rPr>
                <w:sz w:val="18"/>
                <w:szCs w:val="18"/>
              </w:rPr>
              <w:t>Приложение 3</w:t>
            </w:r>
          </w:p>
          <w:p w:rsidR="004528BC" w:rsidRPr="00CE6D6C" w:rsidRDefault="004528BC" w:rsidP="005D5EC5">
            <w:pPr>
              <w:widowControl w:val="0"/>
              <w:suppressAutoHyphens/>
              <w:rPr>
                <w:rFonts w:eastAsia="font296"/>
                <w:sz w:val="18"/>
                <w:szCs w:val="18"/>
              </w:rPr>
            </w:pPr>
            <w:r w:rsidRPr="00CE6D6C">
              <w:rPr>
                <w:sz w:val="18"/>
                <w:szCs w:val="18"/>
              </w:rPr>
              <w:t xml:space="preserve">                                                               к Порядку </w:t>
            </w:r>
            <w:r w:rsidRPr="00CE6D6C">
              <w:rPr>
                <w:rFonts w:eastAsia="font296"/>
                <w:sz w:val="18"/>
                <w:szCs w:val="18"/>
              </w:rPr>
              <w:t xml:space="preserve">формирования перечня налоговых расходов  </w:t>
            </w:r>
          </w:p>
          <w:p w:rsidR="004528BC" w:rsidRPr="00CE6D6C" w:rsidRDefault="004528BC" w:rsidP="005D5EC5">
            <w:pPr>
              <w:widowControl w:val="0"/>
              <w:suppressAutoHyphens/>
              <w:rPr>
                <w:sz w:val="18"/>
                <w:szCs w:val="18"/>
                <w:lang w:eastAsia="en-US"/>
              </w:rPr>
            </w:pPr>
            <w:r w:rsidRPr="00CE6D6C">
              <w:rPr>
                <w:rFonts w:eastAsia="font296"/>
                <w:sz w:val="18"/>
                <w:szCs w:val="18"/>
              </w:rPr>
              <w:t xml:space="preserve">                                                               и оценки налоговых расходов </w:t>
            </w:r>
            <w:proofErr w:type="gramStart"/>
            <w:r w:rsidRPr="00CE6D6C">
              <w:rPr>
                <w:sz w:val="18"/>
                <w:szCs w:val="18"/>
                <w:lang w:eastAsia="en-US"/>
              </w:rPr>
              <w:t>муниципального</w:t>
            </w:r>
            <w:proofErr w:type="gramEnd"/>
            <w:r w:rsidRPr="00CE6D6C">
              <w:rPr>
                <w:sz w:val="18"/>
                <w:szCs w:val="18"/>
                <w:lang w:eastAsia="en-US"/>
              </w:rPr>
              <w:t xml:space="preserve"> </w:t>
            </w:r>
          </w:p>
          <w:p w:rsidR="004528BC" w:rsidRPr="00911486" w:rsidRDefault="004528BC" w:rsidP="005D5EC5">
            <w:pPr>
              <w:widowControl w:val="0"/>
              <w:suppressAutoHyphens/>
              <w:rPr>
                <w:rFonts w:eastAsia="font296"/>
              </w:rPr>
            </w:pPr>
            <w:r w:rsidRPr="00CE6D6C">
              <w:rPr>
                <w:sz w:val="18"/>
                <w:szCs w:val="18"/>
                <w:lang w:eastAsia="en-US"/>
              </w:rPr>
              <w:t xml:space="preserve">                                                               образования</w:t>
            </w:r>
            <w:r w:rsidRPr="001933F9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4528BC" w:rsidRPr="005E7ADD" w:rsidRDefault="004528BC" w:rsidP="004528BC">
      <w:pPr>
        <w:shd w:val="clear" w:color="auto" w:fill="FFFFFF"/>
        <w:tabs>
          <w:tab w:val="left" w:pos="4962"/>
        </w:tabs>
        <w:autoSpaceDE w:val="0"/>
        <w:autoSpaceDN w:val="0"/>
        <w:adjustRightInd w:val="0"/>
      </w:pPr>
    </w:p>
    <w:p w:rsidR="004528BC" w:rsidRPr="00A02A4F" w:rsidRDefault="004528BC" w:rsidP="004528B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4F">
        <w:rPr>
          <w:rFonts w:ascii="Times New Roman" w:hAnsi="Times New Roman" w:cs="Times New Roman"/>
          <w:b/>
          <w:sz w:val="24"/>
          <w:szCs w:val="24"/>
        </w:rPr>
        <w:t xml:space="preserve">Отчет об оценке эффективности налогового расхода </w:t>
      </w:r>
    </w:p>
    <w:p w:rsidR="004528BC" w:rsidRPr="00A02A4F" w:rsidRDefault="004528BC" w:rsidP="004528B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4F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Куминский за 2020 год.</w:t>
      </w:r>
    </w:p>
    <w:p w:rsidR="004528BC" w:rsidRPr="00A02A4F" w:rsidRDefault="004528BC" w:rsidP="004528B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8BC" w:rsidRPr="00A02A4F" w:rsidRDefault="004528BC" w:rsidP="004528BC">
      <w:pPr>
        <w:spacing w:line="276" w:lineRule="auto"/>
        <w:jc w:val="both"/>
      </w:pPr>
      <w:r w:rsidRPr="00A02A4F">
        <w:t xml:space="preserve">Пониженная ставка </w:t>
      </w:r>
      <w:proofErr w:type="gramStart"/>
      <w:r w:rsidRPr="00A02A4F">
        <w:t xml:space="preserve">( </w:t>
      </w:r>
      <w:proofErr w:type="gramEnd"/>
      <w:r w:rsidRPr="00A02A4F">
        <w:t>0,5 % )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</w:p>
    <w:p w:rsidR="004528BC" w:rsidRPr="00A02A4F" w:rsidRDefault="004528BC" w:rsidP="004528BC">
      <w:pPr>
        <w:pStyle w:val="1"/>
        <w:keepNex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  <w:lang w:val="ru-RU"/>
        </w:rPr>
      </w:pPr>
      <w:r w:rsidRPr="00A02A4F">
        <w:rPr>
          <w:rFonts w:ascii="Times New Roman" w:hAnsi="Times New Roman"/>
          <w:sz w:val="20"/>
          <w:szCs w:val="20"/>
        </w:rPr>
        <w:t xml:space="preserve">(наименование налогового расхода муниципального образования </w:t>
      </w:r>
      <w:r w:rsidRPr="00A02A4F">
        <w:rPr>
          <w:rFonts w:ascii="Times New Roman" w:hAnsi="Times New Roman"/>
          <w:sz w:val="20"/>
          <w:szCs w:val="20"/>
          <w:lang w:val="ru-RU"/>
        </w:rPr>
        <w:t xml:space="preserve">городское поселение Куминский </w:t>
      </w:r>
      <w:r w:rsidRPr="00A02A4F">
        <w:rPr>
          <w:rFonts w:ascii="Times New Roman" w:hAnsi="Times New Roman"/>
          <w:sz w:val="20"/>
          <w:szCs w:val="20"/>
        </w:rPr>
        <w:t xml:space="preserve">(налоговой льготы) </w:t>
      </w:r>
    </w:p>
    <w:p w:rsidR="004528BC" w:rsidRPr="00C10451" w:rsidRDefault="004528BC" w:rsidP="004528BC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 w:val="24"/>
          <w:lang w:val="ru-RU"/>
        </w:rPr>
      </w:pPr>
      <w:r w:rsidRPr="00A02A4F">
        <w:rPr>
          <w:rFonts w:ascii="Times New Roman" w:hAnsi="Times New Roman"/>
          <w:sz w:val="24"/>
          <w:lang w:val="ru-RU"/>
        </w:rPr>
        <w:t xml:space="preserve"> </w:t>
      </w:r>
      <w:r w:rsidRPr="00A02A4F">
        <w:rPr>
          <w:rFonts w:ascii="Times New Roman" w:hAnsi="Times New Roman"/>
          <w:sz w:val="24"/>
        </w:rPr>
        <w:t>Налог на имущество физических лиц</w:t>
      </w:r>
      <w:r w:rsidRPr="00A02A4F">
        <w:rPr>
          <w:rFonts w:ascii="Times New Roman" w:hAnsi="Times New Roman"/>
          <w:sz w:val="24"/>
          <w:lang w:val="ru-RU"/>
        </w:rPr>
        <w:t xml:space="preserve">   /  </w:t>
      </w:r>
      <w:r w:rsidRPr="00A02A4F">
        <w:rPr>
          <w:sz w:val="24"/>
        </w:rPr>
        <w:t>Физические лица в отношении объектов налогообложения</w:t>
      </w:r>
      <w:r w:rsidRPr="00C10451">
        <w:rPr>
          <w:sz w:val="24"/>
        </w:rPr>
        <w:t>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4528BC" w:rsidRPr="009A6AAA" w:rsidRDefault="004528BC" w:rsidP="004528BC">
      <w:pPr>
        <w:pStyle w:val="1"/>
        <w:keepNex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C10451">
        <w:rPr>
          <w:rFonts w:ascii="Times New Roman" w:hAnsi="Times New Roman"/>
          <w:sz w:val="20"/>
          <w:szCs w:val="20"/>
          <w:lang w:val="ru-RU"/>
        </w:rPr>
        <w:t>(</w:t>
      </w:r>
      <w:r w:rsidRPr="00C10451">
        <w:rPr>
          <w:rFonts w:ascii="Times New Roman" w:hAnsi="Times New Roman"/>
          <w:sz w:val="20"/>
          <w:szCs w:val="20"/>
        </w:rPr>
        <w:t>наименование</w:t>
      </w:r>
      <w:r w:rsidRPr="00C1045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10451">
        <w:rPr>
          <w:rFonts w:ascii="Times New Roman" w:hAnsi="Times New Roman"/>
          <w:sz w:val="20"/>
          <w:szCs w:val="20"/>
        </w:rPr>
        <w:t>налога и категории налогоплательщиков)</w:t>
      </w:r>
    </w:p>
    <w:p w:rsidR="004528BC" w:rsidRPr="00C10451" w:rsidRDefault="004528BC" w:rsidP="004528BC">
      <w:pPr>
        <w:pStyle w:val="1"/>
        <w:keepNext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FF0000"/>
          <w:sz w:val="24"/>
          <w:lang w:val="ru-RU"/>
        </w:rPr>
      </w:pPr>
      <w:r w:rsidRPr="00C10451">
        <w:rPr>
          <w:sz w:val="24"/>
        </w:rPr>
        <w:t xml:space="preserve">Комитет </w:t>
      </w:r>
      <w:proofErr w:type="spellStart"/>
      <w:r w:rsidRPr="00C10451">
        <w:rPr>
          <w:sz w:val="24"/>
        </w:rPr>
        <w:t>несырьевого</w:t>
      </w:r>
      <w:proofErr w:type="spellEnd"/>
      <w:r w:rsidRPr="00C10451">
        <w:rPr>
          <w:sz w:val="24"/>
        </w:rPr>
        <w:t xml:space="preserve"> сектора экономики и поддержки предпринимательства администрации Кондинского района</w:t>
      </w:r>
    </w:p>
    <w:p w:rsidR="004528BC" w:rsidRPr="00C10451" w:rsidRDefault="004528BC" w:rsidP="004528BC">
      <w:pPr>
        <w:pStyle w:val="1"/>
        <w:keepNex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  <w:lang w:val="ru-RU"/>
        </w:rPr>
      </w:pPr>
      <w:r w:rsidRPr="00C10451">
        <w:rPr>
          <w:rFonts w:ascii="Times New Roman" w:hAnsi="Times New Roman"/>
          <w:sz w:val="20"/>
          <w:szCs w:val="20"/>
        </w:rPr>
        <w:t xml:space="preserve">(наименование куратора налогового расхода </w:t>
      </w:r>
      <w:r w:rsidRPr="00C10451">
        <w:rPr>
          <w:rFonts w:ascii="Times New Roman" w:hAnsi="Times New Roman"/>
          <w:sz w:val="20"/>
          <w:szCs w:val="20"/>
          <w:lang w:val="ru-RU"/>
        </w:rPr>
        <w:t>наименование МО</w:t>
      </w:r>
      <w:r w:rsidRPr="00C10451">
        <w:rPr>
          <w:rFonts w:ascii="Times New Roman" w:hAnsi="Times New Roman"/>
          <w:sz w:val="20"/>
          <w:szCs w:val="20"/>
        </w:rPr>
        <w:t xml:space="preserve"> район)</w:t>
      </w:r>
      <w:r w:rsidRPr="00C10451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4528BC" w:rsidRPr="005E7ADD" w:rsidRDefault="004528BC" w:rsidP="004528BC">
      <w:pPr>
        <w:autoSpaceDE w:val="0"/>
        <w:autoSpaceDN w:val="0"/>
        <w:adjustRightInd w:val="0"/>
        <w:jc w:val="both"/>
        <w:outlineLvl w:val="0"/>
      </w:pPr>
    </w:p>
    <w:tbl>
      <w:tblPr>
        <w:tblW w:w="5066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609"/>
        <w:gridCol w:w="5511"/>
      </w:tblGrid>
      <w:tr w:rsidR="004528BC" w:rsidRPr="00792AC2" w:rsidTr="005D5EC5">
        <w:trPr>
          <w:trHeight w:val="53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B3680D" w:rsidRDefault="004528BC" w:rsidP="005D5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80D">
              <w:rPr>
                <w:sz w:val="20"/>
                <w:szCs w:val="20"/>
              </w:rPr>
              <w:t>№</w:t>
            </w:r>
          </w:p>
          <w:p w:rsidR="004528BC" w:rsidRPr="00B3680D" w:rsidRDefault="004528BC" w:rsidP="005D5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680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3680D">
              <w:rPr>
                <w:sz w:val="20"/>
                <w:szCs w:val="20"/>
              </w:rPr>
              <w:t>/</w:t>
            </w:r>
            <w:proofErr w:type="spellStart"/>
            <w:r w:rsidRPr="00B368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B3680D" w:rsidRDefault="004528BC" w:rsidP="005D5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8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B3680D" w:rsidRDefault="004528BC" w:rsidP="005D5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80D">
              <w:rPr>
                <w:sz w:val="20"/>
                <w:szCs w:val="20"/>
              </w:rPr>
              <w:t>Исполнение показателя</w:t>
            </w: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B3680D" w:rsidRDefault="004528BC" w:rsidP="005D5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80D">
              <w:rPr>
                <w:sz w:val="20"/>
                <w:szCs w:val="20"/>
              </w:rPr>
              <w:t>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B3680D" w:rsidRDefault="004528BC" w:rsidP="005D5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80D">
              <w:rPr>
                <w:sz w:val="20"/>
                <w:szCs w:val="20"/>
              </w:rPr>
              <w:t>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B3680D" w:rsidRDefault="004528BC" w:rsidP="005D5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80D">
              <w:rPr>
                <w:sz w:val="20"/>
                <w:szCs w:val="20"/>
              </w:rPr>
              <w:t>3</w:t>
            </w: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DF6384">
              <w:t>1.</w:t>
            </w:r>
          </w:p>
        </w:tc>
        <w:tc>
          <w:tcPr>
            <w:tcW w:w="4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</w:t>
            </w:r>
            <w:r w:rsidRPr="00DF6384">
              <w:t>Оценка целесообразности налогового расхода</w:t>
            </w: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DF6384">
              <w:t>1.1.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both"/>
            </w:pPr>
            <w:r w:rsidRPr="00DF6384">
              <w:t xml:space="preserve">   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shd w:val="clear" w:color="auto" w:fill="FFFFFF"/>
              <w:autoSpaceDE w:val="0"/>
              <w:autoSpaceDN w:val="0"/>
              <w:adjustRightInd w:val="0"/>
            </w:pPr>
            <w:r w:rsidRPr="00DF6384">
              <w:t xml:space="preserve">  </w:t>
            </w:r>
            <w:r>
              <w:t xml:space="preserve">  </w:t>
            </w:r>
            <w:r w:rsidRPr="00DF6384">
              <w:t xml:space="preserve"> «Развитие малого и среднего предпринимательства в </w:t>
            </w:r>
            <w:proofErr w:type="spellStart"/>
            <w:r w:rsidRPr="00DF6384">
              <w:t>Кондинском</w:t>
            </w:r>
            <w:proofErr w:type="spellEnd"/>
            <w:r w:rsidRPr="00DF6384">
              <w:t xml:space="preserve"> районе на 2019 – 2025 годы и на период до 2030 года». </w:t>
            </w: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DF6384">
              <w:t>1.2.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both"/>
            </w:pPr>
            <w:r w:rsidRPr="00DF6384">
              <w:t xml:space="preserve">   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t xml:space="preserve">    </w:t>
            </w:r>
            <w:r w:rsidRPr="00DF6384">
              <w:t>Трансформация делового климата и совершенствование бесшовной системы поддержки и развития малого и среднего предпринимательства.</w:t>
            </w:r>
            <w:r w:rsidRPr="00DF6384">
              <w:rPr>
                <w:rFonts w:cs="Arial"/>
              </w:rPr>
              <w:t xml:space="preserve"> </w:t>
            </w: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DF6384">
              <w:t>1.3.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both"/>
            </w:pPr>
            <w:r w:rsidRPr="00DF6384">
              <w:t xml:space="preserve">   Вывод о соответствии налогового расхода целям муниципальной программы и (или) цели социально-экономической </w:t>
            </w:r>
            <w:proofErr w:type="gramStart"/>
            <w:r w:rsidRPr="00DF6384">
              <w:t>политики</w:t>
            </w:r>
            <w:proofErr w:type="gramEnd"/>
            <w:r w:rsidRPr="00DF6384">
              <w:t xml:space="preserve"> не относящейся к муниципальным программам</w:t>
            </w:r>
          </w:p>
          <w:p w:rsidR="004528BC" w:rsidRPr="00DF6384" w:rsidRDefault="004528BC" w:rsidP="005D5E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both"/>
            </w:pPr>
            <w:r w:rsidRPr="00DF6384">
              <w:t xml:space="preserve">  </w:t>
            </w:r>
            <w:r>
              <w:t xml:space="preserve"> </w:t>
            </w:r>
            <w:r w:rsidRPr="00DF6384">
              <w:t xml:space="preserve"> Налоговый расход соответствует целям муниципальной программы       «Развитие малого и среднего предпринимательства в </w:t>
            </w:r>
            <w:proofErr w:type="spellStart"/>
            <w:r w:rsidRPr="00DF6384">
              <w:t>Кондинском</w:t>
            </w:r>
            <w:proofErr w:type="spellEnd"/>
            <w:r w:rsidRPr="00DF6384">
              <w:t xml:space="preserve"> районе на 2019 – 2025 годы и на период до 2030 года» и </w:t>
            </w:r>
            <w:r w:rsidRPr="00530503">
              <w:t>способствует  увеличению ч</w:t>
            </w:r>
            <w:r w:rsidRPr="00530503">
              <w:rPr>
                <w:lang w:eastAsia="en-US"/>
              </w:rPr>
              <w:t>исленности занятых в сфере малого и среднего предпринимательст</w:t>
            </w:r>
            <w:r w:rsidRPr="00DF6384">
              <w:rPr>
                <w:lang w:eastAsia="en-US"/>
              </w:rPr>
              <w:t>ва, включая индивидуальных предпринимателей</w:t>
            </w:r>
            <w:r>
              <w:rPr>
                <w:lang w:eastAsia="en-US"/>
              </w:rPr>
              <w:t>.</w:t>
            </w: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DF6384">
              <w:lastRenderedPageBreak/>
              <w:t>1.4.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both"/>
            </w:pPr>
            <w:r w:rsidRPr="00DF6384">
              <w:t xml:space="preserve">  Вывод о </w:t>
            </w:r>
            <w:proofErr w:type="spellStart"/>
            <w:r w:rsidRPr="00DF6384">
              <w:t>востребованности</w:t>
            </w:r>
            <w:proofErr w:type="spellEnd"/>
            <w:r w:rsidRPr="00DF6384">
              <w:t xml:space="preserve"> налоговых льгот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A14A6F" w:rsidRDefault="004528BC" w:rsidP="005D5E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      </w:t>
            </w:r>
            <w:r w:rsidRPr="00DF6384">
              <w:t xml:space="preserve">Налоговая льгота по налогу на имущество физических лиц  имеет высокую </w:t>
            </w:r>
            <w:proofErr w:type="spellStart"/>
            <w:r w:rsidRPr="00DF6384">
              <w:t>востребованность</w:t>
            </w:r>
            <w:proofErr w:type="spellEnd"/>
            <w:r w:rsidRPr="00DF6384">
              <w:t xml:space="preserve"> среди физических лиц</w:t>
            </w:r>
            <w:r>
              <w:rPr>
                <w:sz w:val="22"/>
                <w:szCs w:val="22"/>
              </w:rPr>
              <w:t xml:space="preserve">, </w:t>
            </w:r>
            <w:r w:rsidRPr="00A14A6F">
              <w:t xml:space="preserve">имеющих объекты налогообложения, включенных в перечень, определяемый в соответствии </w:t>
            </w:r>
            <w:r>
              <w:t>с пунктом 7 статьи 378.2 НК РФ</w:t>
            </w:r>
            <w:r w:rsidRPr="00A14A6F">
              <w:t>, в отношении объектов налогообложения, предусмотренных абзацем вторым пункта 10 статьи</w:t>
            </w:r>
            <w:r>
              <w:t xml:space="preserve"> 378.2 НК РФ</w:t>
            </w:r>
            <w:proofErr w:type="gramStart"/>
            <w:r w:rsidRPr="00A14A6F">
              <w:t xml:space="preserve"> ,</w:t>
            </w:r>
            <w:proofErr w:type="gramEnd"/>
            <w:r w:rsidRPr="00DF6384">
              <w:t xml:space="preserve"> что подтверждается следующим:</w:t>
            </w:r>
          </w:p>
          <w:p w:rsidR="004528BC" w:rsidRPr="00BB0AC9" w:rsidRDefault="004528BC" w:rsidP="005D5EC5">
            <w:pPr>
              <w:autoSpaceDE w:val="0"/>
              <w:autoSpaceDN w:val="0"/>
              <w:adjustRightInd w:val="0"/>
            </w:pPr>
            <w:r w:rsidRPr="00BB0AC9">
              <w:rPr>
                <w:color w:val="FF0000"/>
              </w:rPr>
              <w:t xml:space="preserve">      </w:t>
            </w:r>
            <w:r w:rsidRPr="00BB0AC9">
              <w:t>-  увеличением объема налоговых льгот:  в 2020г. объем налоговых льгот составил 80,0 тыс</w:t>
            </w:r>
            <w:proofErr w:type="gramStart"/>
            <w:r w:rsidRPr="00BB0AC9">
              <w:t>.р</w:t>
            </w:r>
            <w:proofErr w:type="gramEnd"/>
            <w:r w:rsidRPr="00BB0AC9">
              <w:t>уб. , что в 10  раз больше, чем в 2017г.;</w:t>
            </w:r>
          </w:p>
          <w:p w:rsidR="004528BC" w:rsidRPr="00BB0AC9" w:rsidRDefault="004528BC" w:rsidP="005D5EC5">
            <w:pPr>
              <w:autoSpaceDE w:val="0"/>
              <w:autoSpaceDN w:val="0"/>
              <w:adjustRightInd w:val="0"/>
            </w:pPr>
            <w:r w:rsidRPr="00BB0AC9">
              <w:t xml:space="preserve">       -   увеличением общей численности  плательщиков налога  на имущество: за период с 2017г. по 2020г.  численность плательщиков увеличилась на  71 ед.  и составила в 2020 году  320 ед.  (128,5  % по сравнению с 2017г</w:t>
            </w:r>
            <w:proofErr w:type="gramStart"/>
            <w:r w:rsidRPr="00BB0AC9">
              <w:t xml:space="preserve"> )</w:t>
            </w:r>
            <w:proofErr w:type="gramEnd"/>
            <w:r w:rsidRPr="00BB0AC9">
              <w:t>;</w:t>
            </w:r>
          </w:p>
          <w:p w:rsidR="004528BC" w:rsidRPr="00DF6384" w:rsidRDefault="004528BC" w:rsidP="005D5EC5">
            <w:pPr>
              <w:autoSpaceDE w:val="0"/>
              <w:autoSpaceDN w:val="0"/>
              <w:adjustRightInd w:val="0"/>
            </w:pPr>
            <w:r w:rsidRPr="00BB0AC9">
              <w:rPr>
                <w:color w:val="FF0000"/>
              </w:rPr>
              <w:t xml:space="preserve">          </w:t>
            </w:r>
            <w:r w:rsidRPr="00BB0AC9">
              <w:t xml:space="preserve">-   увеличением численности плательщиков </w:t>
            </w:r>
            <w:proofErr w:type="spellStart"/>
            <w:r w:rsidRPr="00BB0AC9">
              <w:t>г.п</w:t>
            </w:r>
            <w:proofErr w:type="gramStart"/>
            <w:r w:rsidRPr="00BB0AC9">
              <w:t>.</w:t>
            </w:r>
            <w:r>
              <w:t>К</w:t>
            </w:r>
            <w:proofErr w:type="gramEnd"/>
            <w:r>
              <w:t>уминский</w:t>
            </w:r>
            <w:proofErr w:type="spellEnd"/>
            <w:r w:rsidRPr="00BB0AC9">
              <w:t xml:space="preserve"> , воспользовавшихся правом  на получение налоговых льгот .  За период с 2017  по 2020 годы  численность  увеличилось на  11 ед.  и составила в 2020г.  16 ед.  (3,2 раза по сравнению с 2017г ).</w:t>
            </w: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DF6384">
              <w:t>1.5.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both"/>
            </w:pPr>
            <w:r w:rsidRPr="00DF6384">
              <w:t xml:space="preserve">   Иные критерии целесообразности налогового расхода (при наличии)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440E43" w:rsidRDefault="004528BC" w:rsidP="005D5EC5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Pr="00440E43">
              <w:t xml:space="preserve">При предоставлении налоговых льгот повысится заинтересованность субъектов малого и среднего предпринимательства в инвестировании в рынок коммерческой недвижимости городского поселения </w:t>
            </w:r>
            <w:r>
              <w:t xml:space="preserve">Куминский, </w:t>
            </w:r>
            <w:r w:rsidRPr="00440E43">
              <w:t xml:space="preserve"> что необходимо на </w:t>
            </w:r>
            <w:r>
              <w:t xml:space="preserve">этой </w:t>
            </w:r>
            <w:r w:rsidRPr="00440E43">
              <w:t>территории,  так как обеспеченность населения городского поселения</w:t>
            </w:r>
            <w:r>
              <w:t xml:space="preserve"> Куминский </w:t>
            </w:r>
            <w:r w:rsidRPr="00440E43">
              <w:t xml:space="preserve">  торговыми площадями составила 69,5 % от норматива минимальной обеспеченности населения площадью стационарных торговых объектов</w:t>
            </w:r>
            <w:proofErr w:type="gramStart"/>
            <w:r w:rsidRPr="00440E43">
              <w:t xml:space="preserve"> ,</w:t>
            </w:r>
            <w:proofErr w:type="gramEnd"/>
            <w:r w:rsidRPr="00440E43">
              <w:t xml:space="preserve"> установленного </w:t>
            </w:r>
            <w:hyperlink r:id="rId4" w:history="1">
              <w:r w:rsidRPr="00440E43">
                <w:rPr>
                  <w:rStyle w:val="a3"/>
                  <w:b w:val="0"/>
                  <w:bCs w:val="0"/>
                </w:rPr>
                <w:t xml:space="preserve">постановлением Правительства Ханты-Мансийского АО - Югры от 5 августа 2016г. N291-п "О нормативах минимальной обеспеченности населения площадью стационарных торговых объектов и торговых объектов местного значения </w:t>
              </w:r>
              <w:proofErr w:type="gramStart"/>
              <w:r w:rsidRPr="00440E43">
                <w:rPr>
                  <w:rStyle w:val="a3"/>
                  <w:b w:val="0"/>
                  <w:bCs w:val="0"/>
                </w:rPr>
                <w:t>в</w:t>
              </w:r>
              <w:proofErr w:type="gramEnd"/>
              <w:r w:rsidRPr="00440E43">
                <w:rPr>
                  <w:rStyle w:val="a3"/>
                  <w:b w:val="0"/>
                  <w:bCs w:val="0"/>
                </w:rPr>
                <w:t xml:space="preserve"> </w:t>
              </w:r>
              <w:proofErr w:type="gramStart"/>
              <w:r w:rsidRPr="00440E43">
                <w:rPr>
                  <w:rStyle w:val="a3"/>
                  <w:b w:val="0"/>
                  <w:bCs w:val="0"/>
                </w:rPr>
                <w:t>Ханты-Мансийском</w:t>
              </w:r>
              <w:proofErr w:type="gramEnd"/>
              <w:r w:rsidRPr="00440E43">
                <w:rPr>
                  <w:rStyle w:val="a3"/>
                  <w:b w:val="0"/>
                  <w:bCs w:val="0"/>
                </w:rPr>
                <w:t xml:space="preserve"> автономном округе - </w:t>
              </w:r>
              <w:proofErr w:type="spellStart"/>
              <w:r w:rsidRPr="00440E43">
                <w:rPr>
                  <w:rStyle w:val="a3"/>
                  <w:b w:val="0"/>
                  <w:bCs w:val="0"/>
                </w:rPr>
                <w:t>Югре</w:t>
              </w:r>
              <w:proofErr w:type="spellEnd"/>
              <w:r w:rsidRPr="00440E43">
                <w:rPr>
                  <w:rStyle w:val="a3"/>
                  <w:b w:val="0"/>
                  <w:bCs w:val="0"/>
                </w:rPr>
                <w:t>"</w:t>
              </w:r>
            </w:hyperlink>
            <w:r w:rsidRPr="00440E43">
              <w:t xml:space="preserve">. </w:t>
            </w:r>
            <w:r>
              <w:t xml:space="preserve"> </w:t>
            </w:r>
            <w:r w:rsidRPr="00440E43">
              <w:t>Как вариант – рассмотреть возможность развития розничной торговли  с современными форматами оказания услуг.</w:t>
            </w:r>
            <w:r w:rsidRPr="00A83FB0">
              <w:t xml:space="preserve">  </w:t>
            </w:r>
            <w:r w:rsidRPr="00DF6384">
              <w:t xml:space="preserve"> </w:t>
            </w:r>
          </w:p>
        </w:tc>
      </w:tr>
      <w:tr w:rsidR="004528BC" w:rsidRPr="00792AC2" w:rsidTr="005D5EC5">
        <w:trPr>
          <w:trHeight w:val="113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DF6384">
              <w:t>1.6.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both"/>
            </w:pPr>
            <w:r w:rsidRPr="00DF6384">
              <w:t xml:space="preserve">   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pStyle w:val="a4"/>
              <w:spacing w:before="0" w:after="25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DF6384">
              <w:rPr>
                <w:lang w:val="ru-RU"/>
              </w:rPr>
              <w:t xml:space="preserve">      </w:t>
            </w:r>
            <w:r w:rsidRPr="00DF6384">
              <w:rPr>
                <w:rFonts w:ascii="Times New Roman" w:hAnsi="Times New Roman"/>
                <w:color w:val="auto"/>
                <w:lang w:val="ru-RU"/>
              </w:rPr>
              <w:t xml:space="preserve">Оценив </w:t>
            </w:r>
            <w:r w:rsidRPr="00DF6384">
              <w:rPr>
                <w:rFonts w:ascii="Times New Roman" w:hAnsi="Times New Roman"/>
                <w:color w:val="auto"/>
              </w:rPr>
              <w:t>соответстви</w:t>
            </w:r>
            <w:r w:rsidRPr="00DF6384">
              <w:rPr>
                <w:rFonts w:ascii="Times New Roman" w:hAnsi="Times New Roman"/>
                <w:color w:val="auto"/>
                <w:lang w:val="ru-RU"/>
              </w:rPr>
              <w:t>е</w:t>
            </w:r>
            <w:r w:rsidRPr="00DF6384">
              <w:rPr>
                <w:rFonts w:ascii="Times New Roman" w:hAnsi="Times New Roman"/>
                <w:color w:val="auto"/>
              </w:rPr>
              <w:t xml:space="preserve"> налогового расхода целям муниципальной программы</w:t>
            </w:r>
            <w:r w:rsidRPr="00DF6384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DF6384">
              <w:rPr>
                <w:rFonts w:ascii="Times New Roman" w:hAnsi="Times New Roman"/>
                <w:color w:val="auto"/>
              </w:rPr>
              <w:t xml:space="preserve">«Развитие малого и среднего предпринимательства в </w:t>
            </w:r>
            <w:proofErr w:type="spellStart"/>
            <w:r w:rsidRPr="00DF6384">
              <w:rPr>
                <w:rFonts w:ascii="Times New Roman" w:hAnsi="Times New Roman"/>
                <w:color w:val="auto"/>
              </w:rPr>
              <w:t>Кондинском</w:t>
            </w:r>
            <w:proofErr w:type="spellEnd"/>
            <w:r w:rsidRPr="00DF6384">
              <w:rPr>
                <w:rFonts w:ascii="Times New Roman" w:hAnsi="Times New Roman"/>
                <w:color w:val="auto"/>
              </w:rPr>
              <w:t xml:space="preserve"> районе на 2019 – 2025 годы и на период до 2030 года»</w:t>
            </w:r>
            <w:r w:rsidRPr="00DF6384">
              <w:rPr>
                <w:rFonts w:ascii="Times New Roman" w:hAnsi="Times New Roman"/>
                <w:color w:val="auto"/>
                <w:lang w:val="ru-RU"/>
              </w:rPr>
              <w:t xml:space="preserve">;  учитывая  высокую </w:t>
            </w:r>
            <w:proofErr w:type="spellStart"/>
            <w:r w:rsidRPr="00DF6384">
              <w:rPr>
                <w:rFonts w:ascii="Times New Roman" w:hAnsi="Times New Roman"/>
                <w:color w:val="auto"/>
              </w:rPr>
              <w:t>востребованност</w:t>
            </w:r>
            <w:r w:rsidRPr="00DF6384">
              <w:rPr>
                <w:rFonts w:ascii="Times New Roman" w:hAnsi="Times New Roman"/>
                <w:color w:val="auto"/>
                <w:lang w:val="ru-RU"/>
              </w:rPr>
              <w:t>ь</w:t>
            </w:r>
            <w:proofErr w:type="spellEnd"/>
            <w:r w:rsidRPr="00DF6384">
              <w:rPr>
                <w:rFonts w:ascii="Times New Roman" w:hAnsi="Times New Roman"/>
                <w:color w:val="auto"/>
              </w:rPr>
              <w:t xml:space="preserve"> налоговых льгот</w:t>
            </w:r>
            <w:r w:rsidRPr="00DF6384">
              <w:rPr>
                <w:color w:val="auto"/>
              </w:rPr>
              <w:t xml:space="preserve"> </w:t>
            </w:r>
            <w:r w:rsidRPr="00DF6384">
              <w:rPr>
                <w:color w:val="auto"/>
                <w:lang w:val="ru-RU"/>
              </w:rPr>
              <w:t xml:space="preserve"> </w:t>
            </w:r>
            <w:r w:rsidRPr="00DF6384">
              <w:rPr>
                <w:rFonts w:ascii="Times New Roman" w:hAnsi="Times New Roman"/>
                <w:color w:val="auto"/>
              </w:rPr>
              <w:t>среди физических лиц</w:t>
            </w:r>
            <w:r>
              <w:rPr>
                <w:sz w:val="22"/>
                <w:szCs w:val="22"/>
              </w:rPr>
              <w:t xml:space="preserve">, </w:t>
            </w:r>
            <w:r w:rsidRPr="00A14A6F">
              <w:rPr>
                <w:rFonts w:ascii="Times New Roman" w:hAnsi="Times New Roman"/>
              </w:rPr>
              <w:t xml:space="preserve">имеющих объекты налогообложения, включенных в перечень, определяемый в соответствии с пунктом 7 статьи 378.2 НК РФ, в отношении объектов </w:t>
            </w:r>
            <w:r w:rsidRPr="00A14A6F">
              <w:rPr>
                <w:rFonts w:ascii="Times New Roman" w:hAnsi="Times New Roman"/>
              </w:rPr>
              <w:lastRenderedPageBreak/>
              <w:t>налогообложения, предусмотренных абзацем вторым пункта 10 статьи 378.2 НК РФ</w:t>
            </w:r>
            <w:r w:rsidRPr="00A14A6F">
              <w:rPr>
                <w:rFonts w:ascii="Times New Roman" w:hAnsi="Times New Roman"/>
                <w:color w:val="auto"/>
                <w:lang w:val="ru-RU"/>
              </w:rPr>
              <w:t xml:space="preserve">; </w:t>
            </w:r>
            <w:r w:rsidRPr="00DF6384">
              <w:rPr>
                <w:rFonts w:ascii="Times New Roman" w:hAnsi="Times New Roman"/>
                <w:color w:val="auto"/>
                <w:lang w:val="ru-RU"/>
              </w:rPr>
              <w:t xml:space="preserve">принимая во внимание  </w:t>
            </w:r>
            <w:r w:rsidRPr="00DF6384">
              <w:rPr>
                <w:rFonts w:ascii="Times New Roman" w:hAnsi="Times New Roman"/>
                <w:color w:val="auto"/>
              </w:rPr>
              <w:t xml:space="preserve">заинтересованность субъектов малого и среднего предпринимательства в инвестировании в рынок </w:t>
            </w:r>
            <w:r w:rsidRPr="004B4442">
              <w:rPr>
                <w:rFonts w:ascii="Times New Roman" w:hAnsi="Times New Roman"/>
                <w:color w:val="auto"/>
              </w:rPr>
              <w:t xml:space="preserve">коммерческой недвижимости городского поселения </w:t>
            </w:r>
            <w:r w:rsidRPr="004B4442">
              <w:rPr>
                <w:rFonts w:ascii="Times New Roman" w:hAnsi="Times New Roman"/>
                <w:color w:val="auto"/>
                <w:lang w:val="ru-RU"/>
              </w:rPr>
              <w:t>Куминский можно сделать вывод о необходимости</w:t>
            </w:r>
            <w:r w:rsidRPr="00DF6384">
              <w:rPr>
                <w:rFonts w:ascii="Times New Roman" w:hAnsi="Times New Roman"/>
                <w:color w:val="auto"/>
              </w:rPr>
              <w:t xml:space="preserve"> сохранени</w:t>
            </w:r>
            <w:r w:rsidRPr="00DF6384">
              <w:rPr>
                <w:rFonts w:ascii="Times New Roman" w:hAnsi="Times New Roman"/>
                <w:color w:val="auto"/>
                <w:lang w:val="ru-RU"/>
              </w:rPr>
              <w:t>я</w:t>
            </w:r>
            <w:r w:rsidRPr="00DF6384">
              <w:rPr>
                <w:rFonts w:ascii="Times New Roman" w:hAnsi="Times New Roman"/>
                <w:color w:val="auto"/>
              </w:rPr>
              <w:t xml:space="preserve"> налоговых льгот для плательщиков</w:t>
            </w:r>
            <w:r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DF6384">
              <w:lastRenderedPageBreak/>
              <w:t>2.</w:t>
            </w:r>
          </w:p>
        </w:tc>
        <w:tc>
          <w:tcPr>
            <w:tcW w:w="4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</w:t>
            </w:r>
            <w:r w:rsidRPr="00DF6384">
              <w:t>Оценка результативности налогового расхода</w:t>
            </w: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DF6384">
              <w:t>2.1.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both"/>
            </w:pPr>
            <w:r w:rsidRPr="00DF6384">
              <w:t xml:space="preserve">   Показатель (индикатор) достижения целей муниципальной программы </w:t>
            </w:r>
            <w:r w:rsidRPr="00DF6384">
              <w:br/>
              <w:t xml:space="preserve">и (или) цели социально-экономической политики, не относящейся к муниципальным программам, на </w:t>
            </w:r>
            <w:proofErr w:type="gramStart"/>
            <w:r w:rsidRPr="00DF6384">
              <w:t>значение</w:t>
            </w:r>
            <w:proofErr w:type="gramEnd"/>
            <w:r w:rsidRPr="00DF6384">
              <w:t xml:space="preserve"> которого оказывают влияние налоговые расходы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DF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предпринимателей, ед.</w:t>
            </w:r>
            <w:r w:rsidRPr="00DF6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528BC" w:rsidRPr="00DF6384" w:rsidRDefault="004528BC" w:rsidP="005D5EC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28BC" w:rsidRPr="00DF6384" w:rsidRDefault="004528BC" w:rsidP="005D5EC5">
            <w:pPr>
              <w:autoSpaceDE w:val="0"/>
              <w:autoSpaceDN w:val="0"/>
              <w:adjustRightInd w:val="0"/>
            </w:pP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DF6384">
              <w:t>2.2.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EF37D9" w:rsidRDefault="004528BC" w:rsidP="005D5EC5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DF6384">
              <w:t xml:space="preserve">   </w:t>
            </w:r>
            <w:proofErr w:type="gramStart"/>
            <w:r w:rsidRPr="00DF6384"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</w:t>
            </w:r>
            <w:r w:rsidRPr="000E579B">
              <w:t xml:space="preserve">(разница между фактическим значением показателя и оценкой значения </w:t>
            </w:r>
            <w:r w:rsidRPr="006E0997">
              <w:t>показателя (без учета налогового расхода)&lt;*&gt;</w:t>
            </w:r>
            <w:proofErr w:type="gramEnd"/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DF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2020г. </w:t>
            </w:r>
            <w:r w:rsidRPr="004B4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составила 113 ед.</w:t>
            </w:r>
            <w:r w:rsidRPr="00DF6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528BC" w:rsidRDefault="004528BC" w:rsidP="005D5EC5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4528BC" w:rsidRPr="002806D8" w:rsidRDefault="004528BC" w:rsidP="005D5E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06D8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показателя достижения целей: </w:t>
            </w:r>
          </w:p>
          <w:p w:rsidR="004528BC" w:rsidRPr="00545359" w:rsidRDefault="004528BC" w:rsidP="005D5E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59">
              <w:rPr>
                <w:rFonts w:ascii="Times New Roman" w:hAnsi="Times New Roman" w:cs="Times New Roman"/>
                <w:sz w:val="24"/>
                <w:szCs w:val="24"/>
              </w:rPr>
              <w:t>2021 год – 115 ед. (+ 2 ед.),</w:t>
            </w:r>
          </w:p>
          <w:p w:rsidR="004528BC" w:rsidRPr="00545359" w:rsidRDefault="004528BC" w:rsidP="005D5E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59">
              <w:rPr>
                <w:rFonts w:ascii="Times New Roman" w:hAnsi="Times New Roman" w:cs="Times New Roman"/>
                <w:sz w:val="24"/>
                <w:szCs w:val="24"/>
              </w:rPr>
              <w:t>2022 год – 116 ед. (+ 1 ед.),</w:t>
            </w:r>
          </w:p>
          <w:p w:rsidR="004528BC" w:rsidRPr="00545359" w:rsidRDefault="004528BC" w:rsidP="005D5E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59">
              <w:rPr>
                <w:rFonts w:ascii="Times New Roman" w:hAnsi="Times New Roman" w:cs="Times New Roman"/>
                <w:sz w:val="24"/>
                <w:szCs w:val="24"/>
              </w:rPr>
              <w:t>2023 год – 117 ед. (+ 1 ед.)</w:t>
            </w:r>
          </w:p>
          <w:p w:rsidR="004528BC" w:rsidRPr="00DF6384" w:rsidRDefault="004528BC" w:rsidP="005D5EC5">
            <w:pPr>
              <w:pStyle w:val="ConsPlusNormal"/>
              <w:jc w:val="both"/>
            </w:pP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310E8A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310E8A">
              <w:t>2.3.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EF37D9" w:rsidRDefault="004528BC" w:rsidP="005D5EC5">
            <w:pPr>
              <w:autoSpaceDE w:val="0"/>
              <w:autoSpaceDN w:val="0"/>
              <w:adjustRightInd w:val="0"/>
              <w:jc w:val="both"/>
            </w:pPr>
            <w:r w:rsidRPr="00310E8A">
              <w:t xml:space="preserve">   Альтернативные механизмы достижения целей муниципальной программы и (или) цели социально-экономической политики, </w:t>
            </w:r>
            <w:r w:rsidRPr="00EF37D9">
              <w:t>не относящейся к муниципальным программам</w:t>
            </w:r>
          </w:p>
          <w:p w:rsidR="004528BC" w:rsidRPr="00310E8A" w:rsidRDefault="004528BC" w:rsidP="005D5E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B345E" w:rsidRDefault="004528BC" w:rsidP="005D5EC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FF0000"/>
              </w:rPr>
              <w:t xml:space="preserve">     </w:t>
            </w:r>
            <w:r w:rsidRPr="009E05C8">
              <w:rPr>
                <w:color w:val="FF0000"/>
              </w:rPr>
              <w:t xml:space="preserve">  </w:t>
            </w:r>
            <w:r w:rsidRPr="00DB345E">
              <w:t xml:space="preserve">В качестве альтернативного механизма достижения цели муниципальной программы определена финансовая поддержка (субсидии) субъектам малого предпринимательства Кондинского района по региональному проекту «Расширение доступа субъектов малого и среднего предпринимательства к финансовой  поддержке, в том числе к льготному финансированию», объем бюджетных </w:t>
            </w:r>
            <w:proofErr w:type="gramStart"/>
            <w:r w:rsidRPr="00DB345E">
              <w:t>ассигнований</w:t>
            </w:r>
            <w:proofErr w:type="gramEnd"/>
            <w:r w:rsidRPr="00DB345E">
              <w:t xml:space="preserve"> по которому в 2020 году составил  </w:t>
            </w:r>
            <w:r w:rsidRPr="00DB345E">
              <w:rPr>
                <w:bCs/>
              </w:rPr>
              <w:t>5544259,89 руб.</w:t>
            </w:r>
          </w:p>
          <w:p w:rsidR="004528BC" w:rsidRPr="00E72BF9" w:rsidRDefault="004528BC" w:rsidP="005D5EC5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E72BF9">
              <w:t>В 2020 году финансовая поддержка (субсидии)</w:t>
            </w:r>
            <w:r w:rsidRPr="00E72BF9">
              <w:rPr>
                <w:bCs/>
              </w:rPr>
              <w:t xml:space="preserve"> по региональному проекту</w:t>
            </w:r>
            <w:r w:rsidRPr="00E72BF9">
              <w:t xml:space="preserve"> предоставлена 2 субъектам малого предпринимательства городского поселения Куминский на сумму </w:t>
            </w:r>
            <w:r w:rsidRPr="00E72BF9">
              <w:rPr>
                <w:bCs/>
              </w:rPr>
              <w:t>223440,00 руб., что составляет 4,0 %  от общего объема субсидий по региональному проекту муниципальной программы.</w:t>
            </w:r>
            <w:r w:rsidRPr="00E72BF9">
              <w:t xml:space="preserve">  </w:t>
            </w:r>
          </w:p>
          <w:p w:rsidR="004528BC" w:rsidRPr="00E72BF9" w:rsidRDefault="004528BC" w:rsidP="005D5E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2BF9">
              <w:t xml:space="preserve">        Средний объем субсидий на 1 получателя финансовой поддержки  составил  111720,00 руб.; на 1 </w:t>
            </w:r>
            <w:r w:rsidRPr="00E72BF9">
              <w:rPr>
                <w:lang w:eastAsia="en-US"/>
              </w:rPr>
              <w:t xml:space="preserve">занятого в сфере малого и среднего </w:t>
            </w:r>
            <w:r w:rsidRPr="00E72BF9">
              <w:rPr>
                <w:lang w:eastAsia="en-US"/>
              </w:rPr>
              <w:lastRenderedPageBreak/>
              <w:t>предпринимательства, включая индивидуальных предпринимателей</w:t>
            </w:r>
            <w:r w:rsidRPr="00E72BF9">
              <w:t xml:space="preserve"> городского поселения Куминский</w:t>
            </w:r>
            <w:r w:rsidRPr="00E72BF9">
              <w:rPr>
                <w:color w:val="FF0000"/>
              </w:rPr>
              <w:t xml:space="preserve"> </w:t>
            </w:r>
            <w:r w:rsidRPr="00E72BF9">
              <w:t>-  1977,35 руб.</w:t>
            </w: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94295C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94295C">
              <w:lastRenderedPageBreak/>
              <w:t>2.4.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94295C" w:rsidRDefault="004528BC" w:rsidP="005D5EC5">
            <w:pPr>
              <w:autoSpaceDE w:val="0"/>
              <w:autoSpaceDN w:val="0"/>
              <w:adjustRightInd w:val="0"/>
              <w:jc w:val="both"/>
            </w:pPr>
            <w:r w:rsidRPr="0094295C">
              <w:t xml:space="preserve">   Вывод о наличии/отсутствии более результативных (менее затратных) для бюджета муниципального образования </w:t>
            </w:r>
            <w:r w:rsidRPr="00A02A4F">
              <w:t>городское поселение Куминский альтернативных механизмов достижения целей муниципальной программы и (или) цели</w:t>
            </w:r>
            <w:r w:rsidRPr="0094295C">
              <w:t xml:space="preserve"> социально-экономической политики, не относящейся к муниципальным программам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985C48" w:rsidRDefault="004528BC" w:rsidP="005D5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85C48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составил за 2020 год 80000,00 руб. (35,8% от объема субсидий, предоставленных субъектам малого предпринимательства городского поселения Куминский (223440,00 руб.)).</w:t>
            </w:r>
          </w:p>
          <w:p w:rsidR="004528BC" w:rsidRPr="00985C48" w:rsidRDefault="004528BC" w:rsidP="005D5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Pr="00985C48">
              <w:rPr>
                <w:rFonts w:ascii="Times New Roman" w:hAnsi="Times New Roman" w:cs="Times New Roman"/>
                <w:sz w:val="24"/>
                <w:szCs w:val="24"/>
              </w:rPr>
              <w:t>Тем не менее,  средний размер налоговых льгот / финансовой поддержки (субсидий), на 1 получателя</w:t>
            </w:r>
            <w:proofErr w:type="gramStart"/>
            <w:r w:rsidRPr="00985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5C4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со значительной разницей в количестве получателей, составил:</w:t>
            </w:r>
          </w:p>
          <w:p w:rsidR="004528BC" w:rsidRPr="00985C48" w:rsidRDefault="004528BC" w:rsidP="005D5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48">
              <w:rPr>
                <w:rFonts w:ascii="Times New Roman" w:hAnsi="Times New Roman" w:cs="Times New Roman"/>
                <w:sz w:val="24"/>
                <w:szCs w:val="24"/>
              </w:rPr>
              <w:t xml:space="preserve">  по налоговым льготам – 16 получателей / 5000,00 руб.,</w:t>
            </w:r>
          </w:p>
          <w:p w:rsidR="004528BC" w:rsidRPr="00985C48" w:rsidRDefault="004528BC" w:rsidP="005D5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85C48">
              <w:rPr>
                <w:rFonts w:ascii="Times New Roman" w:hAnsi="Times New Roman" w:cs="Times New Roman"/>
                <w:sz w:val="24"/>
                <w:szCs w:val="24"/>
              </w:rPr>
              <w:t>по финансовой поддержке – 2 получателя / 111720,00 руб. (разница в 22,3 раза  или на 106720, 00 руб.).</w:t>
            </w:r>
          </w:p>
          <w:p w:rsidR="004528BC" w:rsidRPr="00EC699F" w:rsidRDefault="004528BC" w:rsidP="005D5EC5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F734F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вышесказанного сделан вывод, </w:t>
            </w:r>
            <w:r w:rsidRPr="00EC699F">
              <w:rPr>
                <w:rFonts w:ascii="Times New Roman" w:hAnsi="Times New Roman" w:cs="Times New Roman"/>
                <w:sz w:val="24"/>
                <w:szCs w:val="24"/>
              </w:rPr>
              <w:t xml:space="preserve">что  более  результативные (менее затратные) для бюджета муниципального образования </w:t>
            </w:r>
            <w:proofErr w:type="spellStart"/>
            <w:r w:rsidRPr="00EC69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EC69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699F">
              <w:rPr>
                <w:rFonts w:ascii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 w:rsidRPr="00EC699F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альтернативные механизмы достижения целей муниципальной программы , чем предоставление налоговых льгот  физическим лицам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 в размере  пониженной ставка 0,5 %,  отсутствуют.</w:t>
            </w:r>
            <w:r>
              <w:t xml:space="preserve"> </w:t>
            </w: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DF6384">
              <w:t>2.5.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1342D6" w:rsidRDefault="004528BC" w:rsidP="005D5EC5">
            <w:pPr>
              <w:autoSpaceDE w:val="0"/>
              <w:autoSpaceDN w:val="0"/>
              <w:adjustRightInd w:val="0"/>
              <w:jc w:val="both"/>
            </w:pPr>
            <w:r w:rsidRPr="00A02A4F">
              <w:t xml:space="preserve">   </w:t>
            </w:r>
            <w:r w:rsidRPr="001342D6">
              <w:t>Оценка совокупного бюджетного эффекта стимулирующих налоговых расходов муниципального образования городское поселение Куминский &lt;*&gt;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9A6AAA" w:rsidRDefault="004528BC" w:rsidP="005D5EC5">
            <w:pPr>
              <w:autoSpaceDE w:val="0"/>
              <w:autoSpaceDN w:val="0"/>
              <w:adjustRightInd w:val="0"/>
            </w:pPr>
            <w:r w:rsidRPr="009A6AAA">
              <w:t>(приложение  к аналитической записке)</w:t>
            </w: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DF6384">
              <w:t>2.6.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A02A4F" w:rsidRDefault="004528BC" w:rsidP="005D5EC5">
            <w:pPr>
              <w:autoSpaceDE w:val="0"/>
              <w:autoSpaceDN w:val="0"/>
              <w:adjustRightInd w:val="0"/>
              <w:jc w:val="both"/>
            </w:pPr>
            <w:r w:rsidRPr="00A02A4F">
              <w:t xml:space="preserve">   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9A6AAA" w:rsidRDefault="004528BC" w:rsidP="005D5EC5">
            <w:pPr>
              <w:jc w:val="both"/>
            </w:pPr>
            <w:r w:rsidRPr="009A6AAA">
              <w:t xml:space="preserve">На основании </w:t>
            </w:r>
            <w:r>
              <w:t>анализа</w:t>
            </w:r>
            <w:r w:rsidRPr="009A6AAA">
              <w:t xml:space="preserve"> сделан вывод, что  более  результативные, (охватывающее большее количество получателей налоговых льгот при практически аналогичных стоимостных объемах льгот)  для бюджета муниципального образования </w:t>
            </w:r>
            <w:r w:rsidRPr="00D34A65">
              <w:t>городского поселения Куминский альтернативные механизмы достижения целей муниципальной программы</w:t>
            </w:r>
            <w:proofErr w:type="gramStart"/>
            <w:r w:rsidRPr="00D34A65">
              <w:t xml:space="preserve"> ,</w:t>
            </w:r>
            <w:proofErr w:type="gramEnd"/>
            <w:r w:rsidRPr="00D34A65">
              <w:t xml:space="preserve"> чем предоставление налоговых льгот  физическим лицам в отношении объектов налогообложения, включенных в перечень, определяемый в соответствии</w:t>
            </w:r>
            <w:r w:rsidRPr="009A6AAA">
              <w:t xml:space="preserve">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 </w:t>
            </w:r>
            <w:r w:rsidRPr="009A6AAA">
              <w:lastRenderedPageBreak/>
              <w:t>в размере  пониженной ставка 0,5 %,  отсутствуют; совокупный бюджетный эффект (самоокупаемость) стимулирующих налоговых расходов высокий.</w:t>
            </w:r>
            <w:r>
              <w:t xml:space="preserve"> </w:t>
            </w: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DF6384">
              <w:lastRenderedPageBreak/>
              <w:t>3.</w:t>
            </w:r>
          </w:p>
        </w:tc>
        <w:tc>
          <w:tcPr>
            <w:tcW w:w="4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DF6384">
              <w:t>Итоги оценки эффективности налогового расхода</w:t>
            </w:r>
          </w:p>
        </w:tc>
      </w:tr>
      <w:tr w:rsidR="004528BC" w:rsidRPr="00792AC2" w:rsidTr="005D5EC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center"/>
            </w:pPr>
            <w:r w:rsidRPr="00DF6384">
              <w:t>3.1.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DF6384" w:rsidRDefault="004528BC" w:rsidP="005D5EC5">
            <w:pPr>
              <w:autoSpaceDE w:val="0"/>
              <w:autoSpaceDN w:val="0"/>
              <w:adjustRightInd w:val="0"/>
              <w:jc w:val="both"/>
            </w:pPr>
            <w:r w:rsidRPr="009A6AAA">
              <w:t xml:space="preserve">   Итоги и рекомендации по результатам оценки эффективности налогового расхода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28BC" w:rsidRPr="009A6AAA" w:rsidRDefault="004528BC" w:rsidP="005D5EC5">
            <w:pPr>
              <w:jc w:val="both"/>
            </w:pPr>
            <w:r>
              <w:t>Рекомендуется продолжить предоставление налоговых льгот.</w:t>
            </w:r>
          </w:p>
        </w:tc>
      </w:tr>
    </w:tbl>
    <w:p w:rsidR="004528BC" w:rsidRPr="009A6AAA" w:rsidRDefault="004528BC" w:rsidP="004528B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528BC" w:rsidRPr="009A6AAA" w:rsidRDefault="004528BC" w:rsidP="004528B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9A6AAA">
        <w:rPr>
          <w:rFonts w:ascii="Times New Roman" w:hAnsi="Times New Roman"/>
          <w:sz w:val="24"/>
        </w:rPr>
        <w:t>&lt;*&gt; По данн</w:t>
      </w:r>
      <w:r w:rsidRPr="009A6AAA">
        <w:rPr>
          <w:rFonts w:ascii="Times New Roman" w:hAnsi="Times New Roman"/>
          <w:sz w:val="24"/>
          <w:lang w:val="ru-RU"/>
        </w:rPr>
        <w:t>ым</w:t>
      </w:r>
      <w:r w:rsidRPr="009A6AAA">
        <w:rPr>
          <w:rFonts w:ascii="Times New Roman" w:hAnsi="Times New Roman"/>
          <w:sz w:val="24"/>
        </w:rPr>
        <w:t xml:space="preserve"> показател</w:t>
      </w:r>
      <w:r w:rsidRPr="009A6AAA">
        <w:rPr>
          <w:rFonts w:ascii="Times New Roman" w:hAnsi="Times New Roman"/>
          <w:sz w:val="24"/>
          <w:lang w:val="ru-RU"/>
        </w:rPr>
        <w:t>ям</w:t>
      </w:r>
      <w:r w:rsidRPr="009A6AAA">
        <w:rPr>
          <w:rFonts w:ascii="Times New Roman" w:hAnsi="Times New Roman"/>
          <w:sz w:val="24"/>
        </w:rPr>
        <w:t xml:space="preserve"> прилагаются расчеты.</w:t>
      </w:r>
    </w:p>
    <w:p w:rsidR="004528BC" w:rsidRPr="009A6AAA" w:rsidRDefault="004528BC" w:rsidP="004528BC">
      <w:pPr>
        <w:rPr>
          <w:lang/>
        </w:rPr>
      </w:pPr>
    </w:p>
    <w:p w:rsidR="00246F2B" w:rsidRDefault="004528BC" w:rsidP="004528BC">
      <w:r w:rsidRPr="009A6AAA">
        <w:t xml:space="preserve">Приложение: аналитическая записка, расчеты к отчету об оценке эффективности налогового расхода   на </w:t>
      </w:r>
      <w:r>
        <w:t xml:space="preserve">6 </w:t>
      </w:r>
      <w:r w:rsidRPr="009A6AAA">
        <w:t xml:space="preserve"> </w:t>
      </w:r>
    </w:p>
    <w:sectPr w:rsidR="00246F2B" w:rsidSect="0024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28BC"/>
    <w:rsid w:val="001B07F2"/>
    <w:rsid w:val="00246F2B"/>
    <w:rsid w:val="00284EC5"/>
    <w:rsid w:val="003E48E7"/>
    <w:rsid w:val="00440263"/>
    <w:rsid w:val="004528BC"/>
    <w:rsid w:val="007A57E6"/>
    <w:rsid w:val="0080007A"/>
    <w:rsid w:val="00810240"/>
    <w:rsid w:val="00C6426C"/>
    <w:rsid w:val="00DB38C3"/>
    <w:rsid w:val="00E24D59"/>
    <w:rsid w:val="00EF52F6"/>
    <w:rsid w:val="00F4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4528BC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4528BC"/>
    <w:rPr>
      <w:rFonts w:ascii="TimesET" w:eastAsia="Times New Roman" w:hAnsi="TimesET" w:cs="Times New Roman"/>
      <w:sz w:val="28"/>
      <w:szCs w:val="24"/>
      <w:lang/>
    </w:rPr>
  </w:style>
  <w:style w:type="character" w:customStyle="1" w:styleId="a3">
    <w:name w:val="Гипертекстовая ссылка"/>
    <w:uiPriority w:val="99"/>
    <w:rsid w:val="004528BC"/>
    <w:rPr>
      <w:b/>
      <w:bCs/>
      <w:color w:val="008000"/>
    </w:rPr>
  </w:style>
  <w:style w:type="paragraph" w:customStyle="1" w:styleId="ConsPlusNormal">
    <w:name w:val="ConsPlusNormal"/>
    <w:link w:val="ConsPlusNormal0"/>
    <w:rsid w:val="00452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28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28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rsid w:val="004528BC"/>
    <w:pPr>
      <w:spacing w:before="30" w:after="30"/>
    </w:pPr>
    <w:rPr>
      <w:rFonts w:ascii="Arial" w:hAnsi="Arial"/>
      <w:color w:val="332E2D"/>
      <w:spacing w:val="2"/>
      <w:lang/>
    </w:rPr>
  </w:style>
  <w:style w:type="character" w:customStyle="1" w:styleId="a5">
    <w:name w:val="Обычный (веб) Знак"/>
    <w:link w:val="a4"/>
    <w:uiPriority w:val="99"/>
    <w:locked/>
    <w:rsid w:val="004528BC"/>
    <w:rPr>
      <w:rFonts w:ascii="Arial" w:eastAsia="Times New Roman" w:hAnsi="Arial" w:cs="Times New Roman"/>
      <w:color w:val="332E2D"/>
      <w:spacing w:val="2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510790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2021-08-31T09:07:00Z</dcterms:created>
  <dcterms:modified xsi:type="dcterms:W3CDTF">2021-08-31T09:08:00Z</dcterms:modified>
</cp:coreProperties>
</file>