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58130" w14:textId="77777777" w:rsidR="00143F42" w:rsidRDefault="00143F42" w:rsidP="00143F42">
      <w:pPr>
        <w:autoSpaceDE w:val="0"/>
        <w:autoSpaceDN w:val="0"/>
        <w:adjustRightInd w:val="0"/>
        <w:ind w:right="-285"/>
        <w:jc w:val="both"/>
        <w:outlineLvl w:val="0"/>
      </w:pPr>
    </w:p>
    <w:p w14:paraId="5CEA01AD" w14:textId="77777777" w:rsidR="00502AC9" w:rsidRPr="004D0F4C" w:rsidRDefault="00502AC9" w:rsidP="00502AC9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4D0F4C">
        <w:rPr>
          <w:rFonts w:ascii="Times New Roman" w:hAnsi="Times New Roman"/>
          <w:sz w:val="28"/>
          <w:szCs w:val="28"/>
        </w:rPr>
        <w:t>Отчет</w:t>
      </w:r>
    </w:p>
    <w:p w14:paraId="184F31A0" w14:textId="2D8E8A55" w:rsidR="00502AC9" w:rsidRPr="004D0F4C" w:rsidRDefault="00502AC9" w:rsidP="00502AC9">
      <w:pPr>
        <w:pStyle w:val="a5"/>
        <w:jc w:val="center"/>
        <w:rPr>
          <w:rStyle w:val="a3"/>
          <w:rFonts w:ascii="Times New Roman" w:hAnsi="Times New Roman"/>
          <w:b w:val="0"/>
          <w:bCs/>
          <w:sz w:val="28"/>
          <w:szCs w:val="28"/>
        </w:rPr>
      </w:pPr>
      <w:r w:rsidRPr="004D0F4C">
        <w:rPr>
          <w:rFonts w:ascii="Times New Roman" w:hAnsi="Times New Roman"/>
          <w:sz w:val="28"/>
          <w:szCs w:val="28"/>
        </w:rPr>
        <w:t xml:space="preserve">об оценке эффективности налогового расхода </w:t>
      </w:r>
      <w:r w:rsidRPr="004D0F4C">
        <w:rPr>
          <w:rStyle w:val="a3"/>
          <w:rFonts w:ascii="Times New Roman" w:hAnsi="Times New Roman"/>
          <w:bCs/>
          <w:sz w:val="28"/>
          <w:szCs w:val="28"/>
        </w:rPr>
        <w:t xml:space="preserve">муниципального образования городское поселение </w:t>
      </w:r>
      <w:r>
        <w:rPr>
          <w:rStyle w:val="a3"/>
          <w:rFonts w:ascii="Times New Roman" w:hAnsi="Times New Roman"/>
          <w:bCs/>
          <w:sz w:val="28"/>
          <w:szCs w:val="28"/>
        </w:rPr>
        <w:t>Куминский за 202</w:t>
      </w:r>
      <w:r w:rsidR="00E94128">
        <w:rPr>
          <w:rStyle w:val="a3"/>
          <w:rFonts w:ascii="Times New Roman" w:hAnsi="Times New Roman"/>
          <w:bCs/>
          <w:sz w:val="28"/>
          <w:szCs w:val="28"/>
        </w:rPr>
        <w:t>2</w:t>
      </w:r>
      <w:r>
        <w:rPr>
          <w:rStyle w:val="a3"/>
          <w:rFonts w:ascii="Times New Roman" w:hAnsi="Times New Roman"/>
          <w:bCs/>
          <w:sz w:val="28"/>
          <w:szCs w:val="28"/>
        </w:rPr>
        <w:t xml:space="preserve"> год</w:t>
      </w:r>
    </w:p>
    <w:p w14:paraId="312F908E" w14:textId="77777777" w:rsidR="00502AC9" w:rsidRDefault="00502AC9" w:rsidP="00502AC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08C971BA" w14:textId="77777777" w:rsidR="00502AC9" w:rsidRPr="00A76C44" w:rsidRDefault="00502AC9" w:rsidP="00502AC9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  <w:r w:rsidRPr="00A76C44">
        <w:rPr>
          <w:rFonts w:ascii="Times New Roman" w:hAnsi="Times New Roman"/>
          <w:b/>
          <w:sz w:val="20"/>
          <w:szCs w:val="20"/>
        </w:rPr>
        <w:t>Наименование налогового расхода муниципального образования (налоговой льготы):</w:t>
      </w:r>
      <w:r>
        <w:rPr>
          <w:rFonts w:ascii="Times New Roman" w:hAnsi="Times New Roman"/>
          <w:sz w:val="20"/>
          <w:szCs w:val="20"/>
        </w:rPr>
        <w:t xml:space="preserve"> </w:t>
      </w:r>
      <w:r w:rsidRPr="00A76C44">
        <w:rPr>
          <w:rFonts w:ascii="Times New Roman" w:hAnsi="Times New Roman"/>
          <w:i/>
          <w:sz w:val="24"/>
          <w:szCs w:val="24"/>
        </w:rPr>
        <w:t>Освобождение от уплаты налога</w:t>
      </w:r>
    </w:p>
    <w:p w14:paraId="331CB3C1" w14:textId="77777777" w:rsidR="00502AC9" w:rsidRDefault="00502AC9" w:rsidP="00502AC9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14:paraId="6F28BC04" w14:textId="77777777" w:rsidR="00502AC9" w:rsidRPr="00502AC9" w:rsidRDefault="00502AC9" w:rsidP="00502AC9">
      <w:pPr>
        <w:autoSpaceDE w:val="0"/>
        <w:autoSpaceDN w:val="0"/>
        <w:adjustRightInd w:val="0"/>
        <w:spacing w:line="276" w:lineRule="auto"/>
        <w:jc w:val="center"/>
        <w:rPr>
          <w:rFonts w:eastAsia="font332"/>
          <w:i/>
          <w:lang w:eastAsia="en-US"/>
        </w:rPr>
      </w:pPr>
      <w:r w:rsidRPr="00A76C44">
        <w:rPr>
          <w:b/>
        </w:rPr>
        <w:t>Наименование налога и категории налогоплательщиков:</w:t>
      </w:r>
      <w:r>
        <w:t xml:space="preserve"> </w:t>
      </w:r>
      <w:r w:rsidRPr="00502AC9">
        <w:rPr>
          <w:i/>
        </w:rPr>
        <w:t xml:space="preserve">Земельный налог, </w:t>
      </w:r>
      <w:r w:rsidRPr="00502AC9">
        <w:rPr>
          <w:rFonts w:eastAsia="font332"/>
          <w:i/>
          <w:lang w:eastAsia="en-US"/>
        </w:rPr>
        <w:t>Немуниципальные организации (коммерческие и некоммерческие), в том числе социально-ориентированные некоммерческие организации в отношении земельных участков, используемых для оказания населению услуг в социальной сфере на территории Кондинского района</w:t>
      </w:r>
    </w:p>
    <w:p w14:paraId="08C1DB8B" w14:textId="77777777" w:rsidR="00502AC9" w:rsidRDefault="00502AC9" w:rsidP="00502AC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14:paraId="1010212A" w14:textId="77777777" w:rsidR="00502AC9" w:rsidRPr="00502AC9" w:rsidRDefault="00502AC9" w:rsidP="00502AC9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Куратор: Администрация городского поселения Куминский</w:t>
      </w:r>
    </w:p>
    <w:p w14:paraId="55D50E8A" w14:textId="77777777" w:rsidR="00502AC9" w:rsidRDefault="00502AC9" w:rsidP="00143F42">
      <w:pPr>
        <w:autoSpaceDE w:val="0"/>
        <w:autoSpaceDN w:val="0"/>
        <w:adjustRightInd w:val="0"/>
        <w:ind w:right="-285"/>
        <w:jc w:val="both"/>
        <w:outlineLvl w:val="0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6"/>
        <w:gridCol w:w="3680"/>
        <w:gridCol w:w="5263"/>
      </w:tblGrid>
      <w:tr w:rsidR="00021385" w:rsidRPr="00EE4977" w14:paraId="0E72ABB9" w14:textId="77777777" w:rsidTr="00D711A5">
        <w:trPr>
          <w:trHeight w:val="822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99BAC81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№</w:t>
            </w:r>
          </w:p>
          <w:p w14:paraId="1435D20B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п/п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FC7A92A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9B1A0CD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Исполнение показателя</w:t>
            </w:r>
          </w:p>
        </w:tc>
      </w:tr>
      <w:tr w:rsidR="00021385" w:rsidRPr="00EE4977" w14:paraId="3C6C098A" w14:textId="77777777" w:rsidTr="00D711A5">
        <w:trPr>
          <w:trHeight w:val="308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032841D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D033750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6DA552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3</w:t>
            </w:r>
          </w:p>
        </w:tc>
      </w:tr>
      <w:tr w:rsidR="00021385" w:rsidRPr="00EE4977" w14:paraId="18FC0CBD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7B6C94E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1.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556477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Оценка целесообразности налогового расхода</w:t>
            </w:r>
          </w:p>
        </w:tc>
      </w:tr>
      <w:tr w:rsidR="00021385" w:rsidRPr="00EE4977" w14:paraId="69751EF6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8816A88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E09BE7" w14:textId="77777777" w:rsidR="00021385" w:rsidRPr="004E5670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4E5670">
              <w:rPr>
                <w:rFonts w:eastAsia="Calibri"/>
                <w:sz w:val="18"/>
                <w:szCs w:val="18"/>
              </w:rPr>
              <w:t>Наименование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49C8E6" w14:textId="505DBD10" w:rsidR="00107D85" w:rsidRPr="00107D85" w:rsidRDefault="00107D85" w:rsidP="00107D85">
            <w:pPr>
              <w:rPr>
                <w:sz w:val="18"/>
                <w:szCs w:val="18"/>
              </w:rPr>
            </w:pPr>
            <w:r w:rsidRPr="00107D85">
              <w:rPr>
                <w:sz w:val="18"/>
                <w:szCs w:val="18"/>
              </w:rPr>
              <w:t>Распоряжение администрации городского поселения Куминский «О прогнозе социально-экономического</w:t>
            </w:r>
          </w:p>
          <w:p w14:paraId="22ACFC65" w14:textId="11DB406C" w:rsidR="00107D85" w:rsidRPr="00107D85" w:rsidRDefault="00107D85" w:rsidP="00107D85">
            <w:pPr>
              <w:rPr>
                <w:sz w:val="18"/>
                <w:szCs w:val="18"/>
              </w:rPr>
            </w:pPr>
            <w:r w:rsidRPr="00107D85">
              <w:rPr>
                <w:sz w:val="18"/>
                <w:szCs w:val="18"/>
              </w:rPr>
              <w:t>развития городского поселения Куминский на 202</w:t>
            </w:r>
            <w:r w:rsidR="00E94128">
              <w:rPr>
                <w:sz w:val="18"/>
                <w:szCs w:val="18"/>
              </w:rPr>
              <w:t>2</w:t>
            </w:r>
            <w:r w:rsidRPr="00107D85">
              <w:rPr>
                <w:sz w:val="18"/>
                <w:szCs w:val="18"/>
              </w:rPr>
              <w:t xml:space="preserve"> год и на плановый период 202</w:t>
            </w:r>
            <w:r w:rsidR="00E94128">
              <w:rPr>
                <w:sz w:val="18"/>
                <w:szCs w:val="18"/>
              </w:rPr>
              <w:t xml:space="preserve">3 </w:t>
            </w:r>
            <w:r w:rsidRPr="00107D85">
              <w:rPr>
                <w:sz w:val="18"/>
                <w:szCs w:val="18"/>
              </w:rPr>
              <w:t>и 202</w:t>
            </w:r>
            <w:r w:rsidR="00E94128">
              <w:rPr>
                <w:sz w:val="18"/>
                <w:szCs w:val="18"/>
              </w:rPr>
              <w:t>4</w:t>
            </w:r>
            <w:r w:rsidRPr="00107D85">
              <w:rPr>
                <w:sz w:val="18"/>
                <w:szCs w:val="18"/>
              </w:rPr>
              <w:t xml:space="preserve"> годов»</w:t>
            </w:r>
          </w:p>
          <w:p w14:paraId="54BCC8ED" w14:textId="615B6430" w:rsidR="00021385" w:rsidRPr="004E5670" w:rsidRDefault="00107D85" w:rsidP="00107D8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107D85">
              <w:rPr>
                <w:sz w:val="18"/>
                <w:szCs w:val="18"/>
              </w:rPr>
              <w:t>Раздел "Рынок товаров и услуг "</w:t>
            </w:r>
          </w:p>
        </w:tc>
      </w:tr>
      <w:tr w:rsidR="00021385" w:rsidRPr="00EE4977" w14:paraId="2A1AB4E2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D31AEAA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1.2.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6068DCC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Наименование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7A7D03" w14:textId="77777777"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4E5670">
              <w:rPr>
                <w:sz w:val="18"/>
                <w:szCs w:val="18"/>
              </w:rPr>
              <w:t>Расширение участия немуниципальных организаций и индивидуальных предпринимателей в оказании социальных услуг в приоритетных секторах социальной сферы (молодежная политика, образование, культура, спорт)</w:t>
            </w:r>
          </w:p>
        </w:tc>
      </w:tr>
      <w:tr w:rsidR="00021385" w:rsidRPr="00EE4977" w14:paraId="6749D0FC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D99FEF1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1.3.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7D65045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 xml:space="preserve">Вывод о соответствии налогового расхода целям муниципальной программы и (или) цели </w:t>
            </w:r>
            <w:proofErr w:type="gramStart"/>
            <w:r w:rsidRPr="00EE4977">
              <w:rPr>
                <w:rFonts w:eastAsia="Calibri"/>
                <w:sz w:val="18"/>
                <w:szCs w:val="18"/>
              </w:rPr>
              <w:t>социально-экономической политики</w:t>
            </w:r>
            <w:proofErr w:type="gramEnd"/>
            <w:r w:rsidRPr="00EE4977">
              <w:rPr>
                <w:rFonts w:eastAsia="Calibri"/>
                <w:sz w:val="18"/>
                <w:szCs w:val="18"/>
              </w:rPr>
              <w:t xml:space="preserve">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3D25668" w14:textId="77777777"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E4977">
              <w:rPr>
                <w:sz w:val="18"/>
                <w:szCs w:val="18"/>
              </w:rPr>
              <w:t>Соответствует</w:t>
            </w:r>
          </w:p>
        </w:tc>
      </w:tr>
      <w:tr w:rsidR="00021385" w:rsidRPr="00EE4977" w14:paraId="3F8F6CE0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E34178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1.4.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A535DFA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Вывод о востребованности налоговых льгот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B49214C" w14:textId="77777777"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3175D">
              <w:rPr>
                <w:sz w:val="18"/>
                <w:szCs w:val="18"/>
              </w:rPr>
              <w:t>На сегодняшний день не востребована, но может быть востребована в последующие периоды. Имеются основания для ее сохранения.</w:t>
            </w:r>
          </w:p>
        </w:tc>
      </w:tr>
      <w:tr w:rsidR="00021385" w:rsidRPr="00EE4977" w14:paraId="61833AA9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50A869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1.5.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D59B895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Иные критерии целесообразности налогового расхода (при наличии)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0B1075" w14:textId="77777777"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624B93">
              <w:rPr>
                <w:sz w:val="18"/>
                <w:szCs w:val="18"/>
              </w:rPr>
              <w:t>Отсутствуют</w:t>
            </w:r>
          </w:p>
        </w:tc>
      </w:tr>
      <w:tr w:rsidR="00021385" w:rsidRPr="00EE4977" w14:paraId="1C6F4981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6E3D4A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1.6.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5A31F5D4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9B0BDD4" w14:textId="77777777"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E4977">
              <w:rPr>
                <w:sz w:val="18"/>
                <w:szCs w:val="18"/>
              </w:rPr>
              <w:t>Подлежит сохранению</w:t>
            </w:r>
          </w:p>
        </w:tc>
      </w:tr>
      <w:tr w:rsidR="00021385" w:rsidRPr="00EE4977" w14:paraId="1A8C9F6A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63AB62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2.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2EB2C06B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Оценка результативности налогового расхода</w:t>
            </w:r>
          </w:p>
        </w:tc>
      </w:tr>
      <w:tr w:rsidR="00021385" w:rsidRPr="00EE4977" w14:paraId="00B75B0E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CC777B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2107896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 xml:space="preserve">Показатель (индикатор) достижения целей муниципальной программы </w:t>
            </w:r>
            <w:r w:rsidRPr="00EE4977">
              <w:rPr>
                <w:rFonts w:eastAsia="Calibri"/>
                <w:sz w:val="18"/>
                <w:szCs w:val="18"/>
              </w:rPr>
              <w:br/>
              <w:t>и (или) цели социально-экономической политики, не относящейся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CEED03C" w14:textId="77777777"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3175D">
              <w:rPr>
                <w:sz w:val="18"/>
                <w:szCs w:val="18"/>
              </w:rPr>
              <w:t xml:space="preserve">Увеличение количества немуниципальных организаций (коммерческих, некоммерческих), предоставляемых услуги в социальной сфере (спорт, культура, молодежная политика, образование) </w:t>
            </w:r>
            <w:r>
              <w:rPr>
                <w:sz w:val="18"/>
                <w:szCs w:val="18"/>
              </w:rPr>
              <w:t xml:space="preserve">на территории </w:t>
            </w:r>
            <w:proofErr w:type="spellStart"/>
            <w:r>
              <w:rPr>
                <w:sz w:val="18"/>
                <w:szCs w:val="18"/>
              </w:rPr>
              <w:t>гп</w:t>
            </w:r>
            <w:proofErr w:type="spellEnd"/>
            <w:r>
              <w:rPr>
                <w:sz w:val="18"/>
                <w:szCs w:val="18"/>
              </w:rPr>
              <w:t xml:space="preserve"> Куминский</w:t>
            </w:r>
            <w:r w:rsidRPr="00C3175D">
              <w:rPr>
                <w:sz w:val="18"/>
                <w:szCs w:val="18"/>
              </w:rPr>
              <w:t>, единиц</w:t>
            </w:r>
          </w:p>
        </w:tc>
      </w:tr>
      <w:tr w:rsidR="00021385" w:rsidRPr="00EE4977" w14:paraId="2B52944B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52CD69F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2.2.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4323D85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 xml:space="preserve">Оценка вклада налогового расходы в изменение значения показателя (индикатора) достижения целей муниципальной программы и (или) цели социально-экономической политики, не относящейся к муниципальным программам (разница между фактическим значением показателя и оценкой значения показателя (без учета налогового </w:t>
            </w:r>
            <w:proofErr w:type="gramStart"/>
            <w:r w:rsidRPr="00EE4977">
              <w:rPr>
                <w:rFonts w:eastAsia="Calibri"/>
                <w:sz w:val="18"/>
                <w:szCs w:val="18"/>
              </w:rPr>
              <w:t>расхода)&lt;</w:t>
            </w:r>
            <w:proofErr w:type="gramEnd"/>
            <w:r w:rsidRPr="00EE4977">
              <w:rPr>
                <w:rFonts w:eastAsia="Calibri"/>
                <w:sz w:val="18"/>
                <w:szCs w:val="18"/>
              </w:rPr>
              <w:t>*&gt;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66EFFA7" w14:textId="77777777"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Льгота не эффективна</w:t>
            </w:r>
          </w:p>
        </w:tc>
      </w:tr>
      <w:tr w:rsidR="00021385" w:rsidRPr="00EE4977" w14:paraId="5F976C7C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A0FC6EF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2.3.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A4F6F73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 xml:space="preserve">Альтернативные механизмы достижения целей муниципальной программы и (или) </w:t>
            </w:r>
            <w:r w:rsidRPr="00EE4977">
              <w:rPr>
                <w:rFonts w:eastAsia="Calibri"/>
                <w:sz w:val="18"/>
                <w:szCs w:val="18"/>
              </w:rPr>
              <w:lastRenderedPageBreak/>
              <w:t>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4738A90" w14:textId="77777777"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 предусмотрены</w:t>
            </w:r>
          </w:p>
        </w:tc>
      </w:tr>
      <w:tr w:rsidR="00021385" w:rsidRPr="00EE4977" w14:paraId="13603BE6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F29B766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2.4.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0E6DA28B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Вывод о наличии/отсутствии более результативных (менее затратных) для бюджета городского поселения Куминский альтернативных механизмов достижения целей муниципальной программы и (или) цели социально-экономической политики, не относящейся к муниципальным программам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F0163D9" w14:textId="77777777"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EE4977">
              <w:rPr>
                <w:sz w:val="18"/>
                <w:szCs w:val="18"/>
              </w:rPr>
              <w:t>отсутствуют</w:t>
            </w:r>
          </w:p>
        </w:tc>
      </w:tr>
      <w:tr w:rsidR="00021385" w:rsidRPr="00EE4977" w14:paraId="079D4131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6DE6A5A4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2.</w:t>
            </w:r>
            <w:r w:rsidRPr="00EE4977">
              <w:rPr>
                <w:sz w:val="18"/>
                <w:szCs w:val="18"/>
              </w:rPr>
              <w:t>5</w:t>
            </w:r>
            <w:r w:rsidRPr="00EE4977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446D8288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358249" w14:textId="77777777" w:rsidR="00021385" w:rsidRPr="00C3175D" w:rsidRDefault="00021385" w:rsidP="00D711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175D">
              <w:rPr>
                <w:sz w:val="18"/>
                <w:szCs w:val="18"/>
              </w:rPr>
              <w:t>Подлежит  сохранению.</w:t>
            </w:r>
          </w:p>
          <w:p w14:paraId="77D3ED0E" w14:textId="77777777" w:rsidR="00021385" w:rsidRPr="00C3175D" w:rsidRDefault="00021385" w:rsidP="00D711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175D">
              <w:rPr>
                <w:sz w:val="18"/>
                <w:szCs w:val="18"/>
              </w:rPr>
              <w:t>Данная льгота была установлен во исполнение протокола заседания рабочей (экспертной) группы по вопросам поддержки доступа негосударственных (немуниципальных) организаций к предоставлению услуг (работ) социальной сферы в муниципальных образованиях Ханты-Мансийского автономного округа - Югры от 22 августа 2018 года № 2, также включен  в рейтинг муниципальных образований Ханты-Мансийского автономного округа - Югры по итогам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(немуниципальных)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сфере, утвержденный распоряжением Правительства Ханты-Мансийского автономного округа - Югры от 19 мая 2017 года N 292-рп.</w:t>
            </w:r>
          </w:p>
          <w:p w14:paraId="183A1751" w14:textId="77777777" w:rsidR="00021385" w:rsidRPr="00EE4977" w:rsidRDefault="00021385" w:rsidP="00D711A5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C3175D">
              <w:rPr>
                <w:sz w:val="18"/>
                <w:szCs w:val="18"/>
              </w:rPr>
              <w:t>Льготы по земельному налогу для данной категории налогоплательщиков могут быть востребованы в последующие периоды и в дальнейшем помогут снизить налоговую нагрузку для немуниципальных организаций</w:t>
            </w:r>
          </w:p>
        </w:tc>
      </w:tr>
      <w:tr w:rsidR="00021385" w:rsidRPr="00EE4977" w14:paraId="61709679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6DAA235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3.</w:t>
            </w:r>
          </w:p>
        </w:tc>
        <w:tc>
          <w:tcPr>
            <w:tcW w:w="4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7C8DA7F0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EE4977">
              <w:rPr>
                <w:rFonts w:eastAsia="Calibri"/>
                <w:b/>
                <w:sz w:val="18"/>
                <w:szCs w:val="18"/>
              </w:rPr>
              <w:t>Итоги оценки эффективности налогового расхода</w:t>
            </w:r>
          </w:p>
        </w:tc>
      </w:tr>
      <w:tr w:rsidR="00021385" w:rsidRPr="00EE4977" w14:paraId="16582D76" w14:textId="77777777" w:rsidTr="00D711A5"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7499C90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3.1.</w:t>
            </w:r>
          </w:p>
        </w:tc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1E081CC7" w14:textId="77777777" w:rsidR="00021385" w:rsidRPr="00EE4977" w:rsidRDefault="00021385" w:rsidP="00D711A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EE4977">
              <w:rPr>
                <w:rFonts w:eastAsia="Calibri"/>
                <w:sz w:val="18"/>
                <w:szCs w:val="18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14:paraId="3844B750" w14:textId="77777777" w:rsidR="00021385" w:rsidRPr="00C3175D" w:rsidRDefault="00021385" w:rsidP="00D711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175D">
              <w:rPr>
                <w:sz w:val="18"/>
                <w:szCs w:val="18"/>
              </w:rPr>
              <w:t>Не эффективен. Подлежит  сохранению.</w:t>
            </w:r>
          </w:p>
          <w:p w14:paraId="3F395AAB" w14:textId="77777777" w:rsidR="00021385" w:rsidRPr="006D4425" w:rsidRDefault="00021385" w:rsidP="00D711A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3175D">
              <w:rPr>
                <w:sz w:val="18"/>
                <w:szCs w:val="18"/>
              </w:rPr>
              <w:t>Данная льгота была установлен во исполнение протокола заседания рабочей (экспертной) группы по вопросам поддержки доступа негосударственных (немуниципальных) организаций к предоставлению услуг (работ) социальной сферы в муниципальных образованиях Ханты-Мансийского автономного округа - Югры от 22 августа 2018 года № 2, также включен  в рейтинг муниципальных образований Ханты-Мансийского автономного округа - Югры по итогам реализации механизмов поддержки социально ориентированных некоммерческих организаций и социального предпринимательства, обеспечения доступа негосударственных (немуниципальных) организаций к предоставлению услуг (работ) в социальной сфере и внедрения конкурентных способов оказания муниципальных услуг (работ) в социальной сфере, утвержденный распоряжением Правительства Ханты-Мансийского</w:t>
            </w:r>
            <w:r>
              <w:rPr>
                <w:sz w:val="18"/>
                <w:szCs w:val="18"/>
              </w:rPr>
              <w:t xml:space="preserve"> </w:t>
            </w:r>
            <w:r w:rsidRPr="00C3175D">
              <w:rPr>
                <w:sz w:val="18"/>
                <w:szCs w:val="18"/>
              </w:rPr>
              <w:t>автономного округа - Югры от 19 мая 2017 года N 292-рп.</w:t>
            </w:r>
            <w:r>
              <w:rPr>
                <w:sz w:val="18"/>
                <w:szCs w:val="18"/>
              </w:rPr>
              <w:t xml:space="preserve"> </w:t>
            </w:r>
            <w:r w:rsidRPr="00C3175D">
              <w:rPr>
                <w:sz w:val="18"/>
                <w:szCs w:val="18"/>
              </w:rPr>
              <w:t>Льготы по земельному налогу для данной категории налогоплательщиков могут быть востребованы в последующие периоды и в дальнейшем помогут снизить налоговую нагрузку для немуниципальных организаций. Необходимо сохранить налоговый расход, как важный инструмент стимулирования деятельности таких организаций, и в целях проведения более репрезентативной (показательной) оценки в среднесрочном периоде</w:t>
            </w:r>
          </w:p>
        </w:tc>
      </w:tr>
    </w:tbl>
    <w:p w14:paraId="4FD4CB74" w14:textId="77777777" w:rsidR="00021385" w:rsidRDefault="00021385" w:rsidP="00143F42">
      <w:pPr>
        <w:autoSpaceDE w:val="0"/>
        <w:autoSpaceDN w:val="0"/>
        <w:adjustRightInd w:val="0"/>
        <w:ind w:right="-285"/>
        <w:jc w:val="both"/>
        <w:outlineLvl w:val="0"/>
      </w:pPr>
    </w:p>
    <w:p w14:paraId="318DF4D6" w14:textId="77777777" w:rsidR="00021385" w:rsidRPr="001B4340" w:rsidRDefault="00021385" w:rsidP="00143F42">
      <w:pPr>
        <w:autoSpaceDE w:val="0"/>
        <w:autoSpaceDN w:val="0"/>
        <w:adjustRightInd w:val="0"/>
        <w:ind w:right="-285"/>
        <w:jc w:val="both"/>
        <w:outlineLvl w:val="0"/>
      </w:pPr>
    </w:p>
    <w:p w14:paraId="2DF68B76" w14:textId="77777777" w:rsidR="00143F42" w:rsidRPr="001B4340" w:rsidRDefault="00143F42" w:rsidP="00143F42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B4340">
        <w:rPr>
          <w:rFonts w:ascii="Times New Roman" w:hAnsi="Times New Roman"/>
          <w:sz w:val="24"/>
        </w:rPr>
        <w:t>&lt;*&gt; По данным показателям прилагаются расчеты.</w:t>
      </w:r>
    </w:p>
    <w:p w14:paraId="6650FFE9" w14:textId="77777777" w:rsidR="00143F42" w:rsidRDefault="00143F42" w:rsidP="001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C7689E0" w14:textId="77777777" w:rsidR="00CA2D73" w:rsidRDefault="00CA2D73" w:rsidP="001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94365B" w14:textId="77777777" w:rsidR="00E95020" w:rsidRPr="001B4340" w:rsidRDefault="00E95020" w:rsidP="00143F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E95020" w:rsidRPr="001B4340" w:rsidSect="00BA52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33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F42"/>
    <w:rsid w:val="000157EF"/>
    <w:rsid w:val="00021385"/>
    <w:rsid w:val="0002773F"/>
    <w:rsid w:val="000E00FD"/>
    <w:rsid w:val="00107D85"/>
    <w:rsid w:val="00141C9E"/>
    <w:rsid w:val="00143F42"/>
    <w:rsid w:val="00145978"/>
    <w:rsid w:val="0015193C"/>
    <w:rsid w:val="001B4340"/>
    <w:rsid w:val="001E1AE4"/>
    <w:rsid w:val="001E5FDC"/>
    <w:rsid w:val="00221232"/>
    <w:rsid w:val="00240EB6"/>
    <w:rsid w:val="00280C12"/>
    <w:rsid w:val="00320557"/>
    <w:rsid w:val="00331ED0"/>
    <w:rsid w:val="003779BC"/>
    <w:rsid w:val="003A172D"/>
    <w:rsid w:val="00451C08"/>
    <w:rsid w:val="0048662B"/>
    <w:rsid w:val="004E0C6F"/>
    <w:rsid w:val="00502AC9"/>
    <w:rsid w:val="005F6651"/>
    <w:rsid w:val="006B71A9"/>
    <w:rsid w:val="006D2D23"/>
    <w:rsid w:val="006E2EF2"/>
    <w:rsid w:val="007203F1"/>
    <w:rsid w:val="0074175C"/>
    <w:rsid w:val="00764D1A"/>
    <w:rsid w:val="007A4024"/>
    <w:rsid w:val="00807DA4"/>
    <w:rsid w:val="008601C5"/>
    <w:rsid w:val="00862DD6"/>
    <w:rsid w:val="00914201"/>
    <w:rsid w:val="009C4D67"/>
    <w:rsid w:val="009C6657"/>
    <w:rsid w:val="009F192D"/>
    <w:rsid w:val="009F3F5D"/>
    <w:rsid w:val="009F6010"/>
    <w:rsid w:val="00A73BCE"/>
    <w:rsid w:val="00A829D8"/>
    <w:rsid w:val="00B07EC7"/>
    <w:rsid w:val="00B16039"/>
    <w:rsid w:val="00B96D55"/>
    <w:rsid w:val="00BA5227"/>
    <w:rsid w:val="00BB6575"/>
    <w:rsid w:val="00C1592E"/>
    <w:rsid w:val="00C37B9A"/>
    <w:rsid w:val="00C566B4"/>
    <w:rsid w:val="00C61563"/>
    <w:rsid w:val="00CA2D73"/>
    <w:rsid w:val="00CE39EF"/>
    <w:rsid w:val="00D77300"/>
    <w:rsid w:val="00D8034F"/>
    <w:rsid w:val="00DF1A5A"/>
    <w:rsid w:val="00E94128"/>
    <w:rsid w:val="00E95020"/>
    <w:rsid w:val="00EC6EB3"/>
    <w:rsid w:val="00ED005E"/>
    <w:rsid w:val="00EE52AD"/>
    <w:rsid w:val="00F060E9"/>
    <w:rsid w:val="00F1405B"/>
    <w:rsid w:val="00F14096"/>
    <w:rsid w:val="00F44648"/>
    <w:rsid w:val="00FD6E3B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DEE17"/>
  <w15:docId w15:val="{3294F784-5DEE-445A-8845-9BF50994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Раздел"/>
    <w:basedOn w:val="a"/>
    <w:next w:val="a"/>
    <w:link w:val="10"/>
    <w:qFormat/>
    <w:rsid w:val="00143F42"/>
    <w:pPr>
      <w:keepNext/>
      <w:suppressAutoHyphens/>
      <w:jc w:val="center"/>
      <w:outlineLvl w:val="0"/>
    </w:pPr>
    <w:rPr>
      <w:rFonts w:ascii="TimesET" w:hAnsi="TimesET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Раздел Знак"/>
    <w:basedOn w:val="a0"/>
    <w:link w:val="1"/>
    <w:rsid w:val="00143F42"/>
    <w:rPr>
      <w:rFonts w:ascii="TimesET" w:eastAsia="Times New Roman" w:hAnsi="TimesET" w:cs="Times New Roman"/>
      <w:sz w:val="28"/>
      <w:szCs w:val="24"/>
    </w:rPr>
  </w:style>
  <w:style w:type="character" w:customStyle="1" w:styleId="ConsPlusNormal">
    <w:name w:val="ConsPlusNormal Знак"/>
    <w:link w:val="ConsPlusNormal0"/>
    <w:locked/>
    <w:rsid w:val="00143F42"/>
    <w:rPr>
      <w:rFonts w:ascii="Arial" w:hAnsi="Arial" w:cs="Arial"/>
    </w:rPr>
  </w:style>
  <w:style w:type="paragraph" w:customStyle="1" w:styleId="ConsPlusNormal0">
    <w:name w:val="ConsPlusNormal"/>
    <w:link w:val="ConsPlusNormal"/>
    <w:rsid w:val="00143F4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143F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3">
    <w:name w:val="Цветовое выделение"/>
    <w:uiPriority w:val="99"/>
    <w:rsid w:val="00502AC9"/>
    <w:rPr>
      <w:b/>
      <w:color w:val="26282F"/>
    </w:rPr>
  </w:style>
  <w:style w:type="character" w:customStyle="1" w:styleId="a4">
    <w:name w:val="Без интервала Знак"/>
    <w:link w:val="a5"/>
    <w:uiPriority w:val="1"/>
    <w:locked/>
    <w:rsid w:val="00502AC9"/>
  </w:style>
  <w:style w:type="paragraph" w:styleId="a5">
    <w:name w:val="No Spacing"/>
    <w:link w:val="a4"/>
    <w:uiPriority w:val="1"/>
    <w:qFormat/>
    <w:rsid w:val="00502A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8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11DC-8B7C-4BC0-95DD-3FB5793F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Каспшицкая Татьяна Вениаминов</dc:creator>
  <cp:lastModifiedBy>Анастасия Шепелина</cp:lastModifiedBy>
  <cp:revision>69</cp:revision>
  <dcterms:created xsi:type="dcterms:W3CDTF">2021-07-23T04:54:00Z</dcterms:created>
  <dcterms:modified xsi:type="dcterms:W3CDTF">2023-08-18T10:55:00Z</dcterms:modified>
</cp:coreProperties>
</file>